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A615A" w14:textId="77777777" w:rsidR="00C91334" w:rsidRDefault="00554E53">
      <w:pPr>
        <w:pStyle w:val="WitregelW1bodytekst"/>
      </w:pPr>
      <w:bookmarkStart w:id="0" w:name="_GoBack"/>
      <w:bookmarkEnd w:id="0"/>
      <w:r>
        <w:t xml:space="preserve"> </w:t>
      </w:r>
    </w:p>
    <w:p w14:paraId="37A570D8" w14:textId="77777777" w:rsidR="007F6419" w:rsidRDefault="007F6419" w:rsidP="007F6419">
      <w:pPr>
        <w:rPr>
          <w:color w:val="211D1F"/>
        </w:rPr>
      </w:pPr>
      <w:r>
        <w:rPr>
          <w:color w:val="211D1F"/>
        </w:rPr>
        <w:t xml:space="preserve">Blijkens de mededeling van de Directeur van Uw kabinet van </w:t>
      </w:r>
      <w:r w:rsidR="000972B8">
        <w:rPr>
          <w:color w:val="211D1F"/>
        </w:rPr>
        <w:t>3 april 2020</w:t>
      </w:r>
      <w:r>
        <w:rPr>
          <w:color w:val="211D1F"/>
        </w:rPr>
        <w:t>, nr. 2020</w:t>
      </w:r>
      <w:r w:rsidR="00A5136D">
        <w:t>000687</w:t>
      </w:r>
      <w:r>
        <w:rPr>
          <w:color w:val="211D1F"/>
        </w:rPr>
        <w:t xml:space="preserve">, machtigde Uwe Majesteit de Afdeling advisering van de Raad van State </w:t>
      </w:r>
      <w:r w:rsidR="007708DD">
        <w:rPr>
          <w:color w:val="211D1F"/>
        </w:rPr>
        <w:t xml:space="preserve">(hierna: de Afdeling) </w:t>
      </w:r>
      <w:r>
        <w:rPr>
          <w:color w:val="211D1F"/>
        </w:rPr>
        <w:t xml:space="preserve">haar advies inzake het bovenvermelde voorstel van wet rechtstreeks aan mij te doen toekomen. Dit advies, gedateerd </w:t>
      </w:r>
      <w:r w:rsidR="00805199">
        <w:rPr>
          <w:color w:val="211D1F"/>
        </w:rPr>
        <w:t>27 mei 2020</w:t>
      </w:r>
      <w:r>
        <w:rPr>
          <w:color w:val="211D1F"/>
        </w:rPr>
        <w:t xml:space="preserve">, nr. </w:t>
      </w:r>
      <w:sdt>
        <w:sdtPr>
          <w:alias w:val="ZaakNummerPlus"/>
          <w:tag w:val="ZaakNummerPlus"/>
          <w:id w:val="-2079433656"/>
          <w:lock w:val="contentLocked"/>
          <w:placeholder>
            <w:docPart w:val="82162D719F1B4D5786AE654907424E75"/>
          </w:placeholder>
          <w:text/>
        </w:sdtPr>
        <w:sdtEndPr/>
        <w:sdtContent>
          <w:r w:rsidR="00C57DEE">
            <w:t>W04.20.0084/I</w:t>
          </w:r>
        </w:sdtContent>
      </w:sdt>
      <w:r>
        <w:rPr>
          <w:color w:val="211D1F"/>
        </w:rPr>
        <w:t>, bied ik U hierbij aan.</w:t>
      </w:r>
    </w:p>
    <w:p w14:paraId="60E6DC51" w14:textId="77777777" w:rsidR="00C91334" w:rsidRDefault="00C91334"/>
    <w:p w14:paraId="139F0511" w14:textId="77777777" w:rsidR="0090260B" w:rsidRDefault="0090260B" w:rsidP="0090260B">
      <w:pPr>
        <w:rPr>
          <w:rFonts w:ascii="Univers" w:hAnsi="Univers"/>
          <w:color w:val="auto"/>
          <w:sz w:val="22"/>
          <w:szCs w:val="24"/>
        </w:rPr>
      </w:pPr>
      <w:r>
        <w:t xml:space="preserve">De Afdeling maakt een </w:t>
      </w:r>
      <w:r w:rsidR="00E16498">
        <w:t xml:space="preserve">algemene </w:t>
      </w:r>
      <w:r>
        <w:t xml:space="preserve">opmerking </w:t>
      </w:r>
      <w:r w:rsidR="00E16498">
        <w:t xml:space="preserve">en een opmerking </w:t>
      </w:r>
      <w:r>
        <w:t>over de staatssteunaspecten van het voorstel en acht het in verband daarmee wenselijk de toelichting aan te passen.</w:t>
      </w:r>
    </w:p>
    <w:p w14:paraId="56921765" w14:textId="77777777" w:rsidR="00554E53" w:rsidRDefault="00554E53">
      <w:pPr>
        <w:pStyle w:val="WitregelW1bodytekst"/>
      </w:pPr>
    </w:p>
    <w:p w14:paraId="71662161" w14:textId="4DA3A0F9" w:rsidR="00473785" w:rsidRPr="00245DBA" w:rsidRDefault="00975833" w:rsidP="00975833">
      <w:pPr>
        <w:rPr>
          <w:i/>
        </w:rPr>
      </w:pPr>
      <w:r w:rsidRPr="00975833">
        <w:rPr>
          <w:i/>
        </w:rPr>
        <w:t xml:space="preserve">De toelichting plaatst het wetsvoorstel in het kader van het beleid van de regering voor de woningmarkt, in het bijzonder het vraagstuk van voldoende beschikbaarheid van betaalbare woningen voor huishoudens met een lager inkomen in een ‘prettig leefbare’ omgeving. Het wetsvoorstel bevat vooral technische aanpassingen die erop zijn gericht de administratieve lasten voor corporaties te verlichten. Verder krijgen corporaties iets meer ruimte om onroerend-goedposities buiten de eigen regio uit te breiden. Ook voor leefbaarheid en verduurzaming van woningen heeft het voorstel aandacht. Tegen deze achtergrond ziet de Afdeling, anders dan de toelichting suggereert, niet op voorhand in dat dit wetsvoorstel een betekenisvolle impuls zal geven aan de oplossing van de fundamentele problemen op de woningmarkt. </w:t>
      </w:r>
    </w:p>
    <w:p w14:paraId="56585E2D" w14:textId="77777777" w:rsidR="004D0454" w:rsidRDefault="004D0454" w:rsidP="00FA47C7"/>
    <w:p w14:paraId="65856BE5" w14:textId="59C701C7" w:rsidR="007C1FFD" w:rsidRDefault="0083720E" w:rsidP="007C1FFD">
      <w:pPr>
        <w:autoSpaceDN/>
        <w:spacing w:line="240" w:lineRule="auto"/>
        <w:rPr>
          <w:rFonts w:ascii="Times New Roman" w:hAnsi="Times New Roman" w:cs="Times New Roman"/>
          <w:color w:val="auto"/>
          <w:sz w:val="24"/>
          <w:szCs w:val="24"/>
        </w:rPr>
      </w:pPr>
      <w:r>
        <w:t>D</w:t>
      </w:r>
      <w:r w:rsidR="00E94C6C" w:rsidDel="00E94C6C">
        <w:t xml:space="preserve">it wetsvoorstel </w:t>
      </w:r>
      <w:r>
        <w:t xml:space="preserve">geeft in samenhang met andere maatregelen aangaande de huurmarkt </w:t>
      </w:r>
      <w:r w:rsidR="00E94C6C" w:rsidDel="00E94C6C">
        <w:t xml:space="preserve">een belangrijke impuls aan de </w:t>
      </w:r>
      <w:r>
        <w:t>w</w:t>
      </w:r>
      <w:r w:rsidR="00E94C6C" w:rsidDel="00E94C6C">
        <w:t xml:space="preserve">oningmarkt. </w:t>
      </w:r>
      <w:r w:rsidR="00E94C6C" w:rsidRPr="00E94C6C" w:rsidDel="00E94C6C">
        <w:t xml:space="preserve">Zoals in de Kamerbrief aangaande maatregelen huurmarkt en evaluatie </w:t>
      </w:r>
      <w:proofErr w:type="spellStart"/>
      <w:r w:rsidR="00E94C6C" w:rsidRPr="00E94C6C" w:rsidDel="00E94C6C">
        <w:t>herziene</w:t>
      </w:r>
      <w:proofErr w:type="spellEnd"/>
      <w:r w:rsidR="00E94C6C" w:rsidRPr="00E94C6C" w:rsidDel="00E94C6C">
        <w:t xml:space="preserve"> Woningwet</w:t>
      </w:r>
      <w:r w:rsidR="00E94C6C">
        <w:rPr>
          <w:rStyle w:val="Voetnootmarkering"/>
        </w:rPr>
        <w:footnoteReference w:id="1"/>
      </w:r>
      <w:r w:rsidR="00E94C6C">
        <w:t xml:space="preserve"> </w:t>
      </w:r>
      <w:r w:rsidR="00E94C6C" w:rsidDel="00E94C6C">
        <w:t xml:space="preserve">wordt toegelicht spelen corporaties een belangrijke rol op de woningmarkt. </w:t>
      </w:r>
      <w:r w:rsidR="007C1FFD">
        <w:rPr>
          <w:color w:val="auto"/>
        </w:rPr>
        <w:t xml:space="preserve">Hierbij heeft het kabinet het uitgangspunt naar aanleiding van de evaluatie van de </w:t>
      </w:r>
      <w:proofErr w:type="spellStart"/>
      <w:r w:rsidR="007C1FFD">
        <w:rPr>
          <w:color w:val="auto"/>
        </w:rPr>
        <w:t>herziene</w:t>
      </w:r>
      <w:proofErr w:type="spellEnd"/>
      <w:r w:rsidR="007C1FFD">
        <w:rPr>
          <w:color w:val="auto"/>
        </w:rPr>
        <w:t xml:space="preserve"> Woningwet dat </w:t>
      </w:r>
      <w:r w:rsidR="007C1FFD">
        <w:rPr>
          <w:color w:val="211D1F"/>
        </w:rPr>
        <w:t xml:space="preserve">woningcorporaties meer mogelijkheden krijgen om op lokaal niveau met gemeenten en huurders invulling te geven aan de volkshuisvesting binnen wettelijke principes. </w:t>
      </w:r>
    </w:p>
    <w:p w14:paraId="6FC80744" w14:textId="680A6516" w:rsidR="00FA47C7" w:rsidRDefault="00E94C6C" w:rsidP="00FA47C7">
      <w:pPr>
        <w:rPr>
          <w:color w:val="auto"/>
        </w:rPr>
      </w:pPr>
      <w:r w:rsidDel="00E94C6C">
        <w:t xml:space="preserve">Zij zijn daarmee een belangrijke partij in het oplossen van problemen op de </w:t>
      </w:r>
      <w:r w:rsidR="006D1619">
        <w:t>woning</w:t>
      </w:r>
      <w:r w:rsidDel="00E94C6C">
        <w:t xml:space="preserve">markt. Corporaties zorgen immers voor betaalbare huurwoningen van goede kwaliteit voor mensen die op de woningmarkt moeilijk passende </w:t>
      </w:r>
      <w:r w:rsidDel="00E94C6C">
        <w:lastRenderedPageBreak/>
        <w:t>huisvesting kunnen vinden, en leveren daarmee een onmisbare bijdrage in het aanbieden van een betaalbare woning in een prettige en leefbare wijk</w:t>
      </w:r>
      <w:r w:rsidR="00550818" w:rsidDel="00E94C6C">
        <w:t xml:space="preserve">. </w:t>
      </w:r>
      <w:r w:rsidR="00FA47C7">
        <w:t xml:space="preserve">Met dit wetsvoorstel </w:t>
      </w:r>
      <w:r w:rsidR="00B6153E">
        <w:t xml:space="preserve">wordt voorgesteld de Woningwet te wijzigen om </w:t>
      </w:r>
      <w:r w:rsidR="007F5F9D">
        <w:t xml:space="preserve">corporaties </w:t>
      </w:r>
      <w:r w:rsidR="00B6153E">
        <w:t>meer</w:t>
      </w:r>
      <w:r w:rsidR="00FA47C7">
        <w:t xml:space="preserve"> mogelijkheden </w:t>
      </w:r>
      <w:r w:rsidR="00B6153E">
        <w:t xml:space="preserve">te bieden </w:t>
      </w:r>
      <w:r w:rsidR="00FA47C7">
        <w:t xml:space="preserve">om lokaal maatwerk toe te passen, </w:t>
      </w:r>
      <w:r w:rsidR="00B6153E">
        <w:t xml:space="preserve">om </w:t>
      </w:r>
      <w:r w:rsidR="00FA47C7">
        <w:t xml:space="preserve">ruimte </w:t>
      </w:r>
      <w:r w:rsidR="00B6153E">
        <w:t xml:space="preserve">te </w:t>
      </w:r>
      <w:r w:rsidR="00FA47C7">
        <w:t xml:space="preserve">geven voor meer risicogericht toezicht en </w:t>
      </w:r>
      <w:r w:rsidR="00B6153E">
        <w:t xml:space="preserve">om </w:t>
      </w:r>
      <w:r w:rsidR="00FA47C7">
        <w:t xml:space="preserve">de administratieve lasten </w:t>
      </w:r>
      <w:r w:rsidR="008B2F9A">
        <w:t xml:space="preserve">te </w:t>
      </w:r>
      <w:r w:rsidR="00FA47C7">
        <w:t xml:space="preserve">beperken. </w:t>
      </w:r>
      <w:r w:rsidR="00193C90">
        <w:t xml:space="preserve">Hiermee worden corporaties beter in staat gesteld om hun belangrijke rol te spelen. </w:t>
      </w:r>
      <w:r w:rsidR="0049740F">
        <w:t xml:space="preserve">Dit is in de </w:t>
      </w:r>
      <w:r w:rsidR="007C1FFD">
        <w:t>m</w:t>
      </w:r>
      <w:r w:rsidR="0049740F">
        <w:t xml:space="preserve">emorie van </w:t>
      </w:r>
      <w:r w:rsidR="007C1FFD">
        <w:t>t</w:t>
      </w:r>
      <w:r w:rsidR="0049740F">
        <w:t>oelichting nader verduidelijkt.</w:t>
      </w:r>
    </w:p>
    <w:p w14:paraId="73458930" w14:textId="2873034F" w:rsidR="00975833" w:rsidRDefault="00CC686C" w:rsidP="00554E53">
      <w:pPr>
        <w:rPr>
          <w:u w:val="single"/>
        </w:rPr>
      </w:pPr>
      <w:r>
        <w:rPr>
          <w:u w:val="single"/>
        </w:rPr>
        <w:br/>
      </w:r>
      <w:r w:rsidRPr="00CC686C">
        <w:rPr>
          <w:u w:val="single"/>
        </w:rPr>
        <w:t>Staatssteun</w:t>
      </w:r>
    </w:p>
    <w:p w14:paraId="4DACE674" w14:textId="77777777" w:rsidR="00CC686C" w:rsidRDefault="00CC686C" w:rsidP="00554E53">
      <w:pPr>
        <w:rPr>
          <w:u w:val="single"/>
        </w:rPr>
      </w:pPr>
    </w:p>
    <w:p w14:paraId="7D11DF42" w14:textId="77777777" w:rsidR="00494C2F" w:rsidRPr="006D7D49" w:rsidRDefault="00494C2F" w:rsidP="00494C2F">
      <w:pPr>
        <w:rPr>
          <w:rFonts w:ascii="Univers" w:hAnsi="Univers"/>
          <w:i/>
          <w:color w:val="auto"/>
          <w:sz w:val="22"/>
          <w:szCs w:val="24"/>
        </w:rPr>
      </w:pPr>
      <w:r w:rsidRPr="006D7D49">
        <w:rPr>
          <w:i/>
        </w:rPr>
        <w:t>Het voorstel voorziet in een aantal wijzigingen in het werkdomein van de toegelaten instellingen. Doel daarvan is, zo staat in de toelichting, een aantal belemmeringen en dubbele waarborgen weg te nemen. Een deel van deze wijzigingen betreft activiteiten, die verband houden met taken die als dienst van algemeen economisch belang (‘DAEB’) aan de toegelaten instellingen zijn opgedragen. Onder meer krijgen toegelaten instellingen meer ruimte om binnen de DAEB-taak diensten te verlenen, niet alleen aan huishoudens behorende tot de doelgroep maar ook aan derden, zoals huurders van maatschappelijk onroerend goed (bijvoorbeeld het leveren van warmte). Voorts wordt het hen toegestaan de overheadkosten in verband met verduurzaming te dragen. Beide activiteiten zullen onderdeel zijn van de in artikel 47 van de Woningwet omschreven DAEB-taken. De Afdeling sluit niet uit dat ook andere wijzigingen van het werkdomein gevolgen hebben voor de omvang en uitvoering van DAEB-taken.</w:t>
      </w:r>
    </w:p>
    <w:p w14:paraId="31AECF21" w14:textId="77777777" w:rsidR="00494C2F" w:rsidRPr="006D7D49" w:rsidRDefault="00494C2F" w:rsidP="00494C2F">
      <w:pPr>
        <w:rPr>
          <w:i/>
        </w:rPr>
      </w:pPr>
    </w:p>
    <w:p w14:paraId="1A4CEB0D" w14:textId="77777777" w:rsidR="00494C2F" w:rsidRPr="006D7D49" w:rsidRDefault="00494C2F" w:rsidP="00494C2F">
      <w:pPr>
        <w:rPr>
          <w:i/>
        </w:rPr>
      </w:pPr>
      <w:r w:rsidRPr="006D7D49">
        <w:rPr>
          <w:i/>
        </w:rPr>
        <w:t xml:space="preserve">De Afdeling merkt op dat de kenmerken van de DAEB-taken zijn vastgelegd in een besluit van de Europese Commissie, waarmee zij de financiering als verenigbare staatssteun heeft goedgekeurd. De afbakening van de DAEB-taken en de goedkeuringsvoorwaarden zijn voorwerp geweest van een langdurig overleg tussen de Commissie en de Nederlandse autoriteiten. Een wijziging van deze DAEB-taken kan ertoe leiden dat deze niet langer in overeenstemming zijn met (de voorwaarden van) het goedkeuringsbesluit. Dit kan tot gevolg hebben dat de financiering van deze taken niet langer als verenigbare staatssteun is aan te merken. </w:t>
      </w:r>
    </w:p>
    <w:p w14:paraId="13E1FED5" w14:textId="77777777" w:rsidR="00494C2F" w:rsidRPr="006D7D49" w:rsidRDefault="00494C2F" w:rsidP="00494C2F">
      <w:pPr>
        <w:rPr>
          <w:i/>
        </w:rPr>
      </w:pPr>
    </w:p>
    <w:p w14:paraId="5FF9F231" w14:textId="77777777" w:rsidR="00494C2F" w:rsidRPr="006D7D49" w:rsidRDefault="00494C2F" w:rsidP="00494C2F">
      <w:pPr>
        <w:rPr>
          <w:rFonts w:ascii="Univers" w:hAnsi="Univers"/>
          <w:i/>
          <w:color w:val="auto"/>
          <w:sz w:val="22"/>
          <w:szCs w:val="24"/>
        </w:rPr>
      </w:pPr>
      <w:r w:rsidRPr="006D7D49">
        <w:rPr>
          <w:i/>
        </w:rPr>
        <w:t>In de toelichting wordt, in algemene termen, opgemerkt dat enkele wijzigingen raken aan het besluit van de Commissie en dat met de huidige formulering van het voorstel binnen de grenzen van het goedkeuringsbesluit wordt gebleven. Dit wordt niet gemotiveerd, noch gespecificeerd voor de verschillende wijzigingen. Uit de toelichting blijkt ook niet of in dit verband overleg met de Commissie heeft plaatsgehad. Voor zover dat nog niet heeft plaatsgehad, acht de Afdeling een dergelijk overleg omwille van de rechtszekerheid van belang. Dit geldt te meer, aangezien ten aanzien van (de uitvoering van) de DAEB-taken reeds eerder wijzigingen zijn doorgevoerd, waarbij onduidelijk is in hoeverre deze passen binnen de kaders van het goedkeuringsbesluit.</w:t>
      </w:r>
    </w:p>
    <w:p w14:paraId="12CD2037" w14:textId="77777777" w:rsidR="00494C2F" w:rsidRPr="006D7D49" w:rsidRDefault="00494C2F" w:rsidP="00494C2F">
      <w:pPr>
        <w:rPr>
          <w:i/>
        </w:rPr>
      </w:pPr>
    </w:p>
    <w:p w14:paraId="62598C5C" w14:textId="77777777" w:rsidR="00494C2F" w:rsidRPr="006D7D49" w:rsidRDefault="00494C2F" w:rsidP="00494C2F">
      <w:pPr>
        <w:rPr>
          <w:i/>
        </w:rPr>
      </w:pPr>
      <w:r w:rsidRPr="006D7D49">
        <w:rPr>
          <w:i/>
        </w:rPr>
        <w:t xml:space="preserve">De Afdeling adviseert in overleg te treden met de Europese Commissie over de voorgestelde wijzigingen, alvorens het wetsvoorstel in te dienen bij de Tweede Kamer. De Afdeling adviseert voorts in de toelichting uiteen te zetten in hoeverre de verschillende wijzigingen van het voorstel in overeenstemming zijn met het </w:t>
      </w:r>
      <w:r w:rsidRPr="006D7D49">
        <w:rPr>
          <w:i/>
        </w:rPr>
        <w:lastRenderedPageBreak/>
        <w:t xml:space="preserve">goedkeuringsbesluit en daarbij in te gaan op de uitkomsten van het gevoerde overleg met de Commissie. </w:t>
      </w:r>
    </w:p>
    <w:p w14:paraId="206A8FF9" w14:textId="77777777" w:rsidR="00494C2F" w:rsidRDefault="00494C2F" w:rsidP="00494C2F">
      <w:pPr>
        <w:rPr>
          <w:rFonts w:ascii="Times New Roman" w:hAnsi="Times New Roman"/>
          <w:sz w:val="24"/>
        </w:rPr>
      </w:pPr>
    </w:p>
    <w:p w14:paraId="28E03BA9" w14:textId="573D5F5E" w:rsidR="00DB3CEC" w:rsidRPr="00DB3CEC" w:rsidRDefault="00DB3CEC" w:rsidP="00DB3CEC">
      <w:pPr>
        <w:pStyle w:val="Default"/>
        <w:rPr>
          <w:sz w:val="18"/>
          <w:szCs w:val="18"/>
        </w:rPr>
      </w:pPr>
      <w:r w:rsidRPr="00DB3CEC">
        <w:rPr>
          <w:sz w:val="18"/>
          <w:szCs w:val="18"/>
        </w:rPr>
        <w:t xml:space="preserve">Naar aanleiding van de opmerkingen van de Afdeling is de toelichting in </w:t>
      </w:r>
      <w:r w:rsidR="001C29B0">
        <w:rPr>
          <w:sz w:val="18"/>
          <w:szCs w:val="18"/>
        </w:rPr>
        <w:t xml:space="preserve">hoofdstuk 4 van het algemeen deel van de </w:t>
      </w:r>
      <w:r w:rsidR="007F5F9D">
        <w:rPr>
          <w:sz w:val="18"/>
          <w:szCs w:val="18"/>
        </w:rPr>
        <w:t>m</w:t>
      </w:r>
      <w:r w:rsidR="001C29B0">
        <w:rPr>
          <w:sz w:val="18"/>
          <w:szCs w:val="18"/>
        </w:rPr>
        <w:t>emorie van toelichting</w:t>
      </w:r>
      <w:r w:rsidRPr="00DB3CEC">
        <w:rPr>
          <w:sz w:val="18"/>
          <w:szCs w:val="18"/>
        </w:rPr>
        <w:t xml:space="preserve"> aangevuld. </w:t>
      </w:r>
      <w:r w:rsidR="007F5F9D" w:rsidRPr="00287E12">
        <w:rPr>
          <w:sz w:val="18"/>
          <w:szCs w:val="18"/>
        </w:rPr>
        <w:t>I</w:t>
      </w:r>
      <w:r w:rsidRPr="00287E12">
        <w:rPr>
          <w:sz w:val="18"/>
          <w:szCs w:val="18"/>
        </w:rPr>
        <w:t xml:space="preserve">ndien een </w:t>
      </w:r>
      <w:r w:rsidR="00863D6A" w:rsidRPr="00287E12">
        <w:rPr>
          <w:sz w:val="18"/>
          <w:szCs w:val="18"/>
        </w:rPr>
        <w:t xml:space="preserve">maatregel op basis van het </w:t>
      </w:r>
      <w:r w:rsidR="00F2529E" w:rsidRPr="00287E12">
        <w:rPr>
          <w:sz w:val="18"/>
          <w:szCs w:val="18"/>
        </w:rPr>
        <w:t>goedkeuringsbesluit van de Europese Commissie uit 2009 (hierna: EC</w:t>
      </w:r>
      <w:r w:rsidR="00245DBA" w:rsidRPr="00287E12">
        <w:rPr>
          <w:sz w:val="18"/>
          <w:szCs w:val="18"/>
        </w:rPr>
        <w:t>-besluit uit 2009</w:t>
      </w:r>
      <w:r w:rsidR="00F2529E" w:rsidRPr="00287E12">
        <w:rPr>
          <w:sz w:val="18"/>
          <w:szCs w:val="18"/>
        </w:rPr>
        <w:t>)</w:t>
      </w:r>
      <w:r w:rsidR="00245DBA">
        <w:rPr>
          <w:sz w:val="18"/>
          <w:szCs w:val="18"/>
        </w:rPr>
        <w:t xml:space="preserve"> m</w:t>
      </w:r>
      <w:r w:rsidRPr="00DB3CEC">
        <w:rPr>
          <w:sz w:val="18"/>
          <w:szCs w:val="18"/>
        </w:rPr>
        <w:t xml:space="preserve">ogelijk is, hoeft </w:t>
      </w:r>
      <w:r w:rsidR="007F5F9D">
        <w:rPr>
          <w:sz w:val="18"/>
          <w:szCs w:val="18"/>
        </w:rPr>
        <w:t>deze</w:t>
      </w:r>
      <w:r w:rsidRPr="00DB3CEC">
        <w:rPr>
          <w:sz w:val="18"/>
          <w:szCs w:val="18"/>
        </w:rPr>
        <w:t xml:space="preserve"> niet te worden gemeld aan de Europese Commissie. </w:t>
      </w:r>
    </w:p>
    <w:p w14:paraId="0997466C" w14:textId="2FDE5BEF" w:rsidR="00DB3CEC" w:rsidRPr="001215CA" w:rsidRDefault="00DB3CEC" w:rsidP="00DB3CEC">
      <w:pPr>
        <w:pStyle w:val="Default"/>
        <w:rPr>
          <w:sz w:val="18"/>
          <w:szCs w:val="18"/>
        </w:rPr>
      </w:pPr>
    </w:p>
    <w:p w14:paraId="0B755EF3" w14:textId="6CC51C73" w:rsidR="00DB3CEC" w:rsidRPr="00DB3CEC" w:rsidRDefault="00DB3CEC" w:rsidP="00DB3CEC">
      <w:pPr>
        <w:pStyle w:val="Default"/>
        <w:rPr>
          <w:sz w:val="18"/>
          <w:szCs w:val="18"/>
        </w:rPr>
      </w:pPr>
      <w:r w:rsidRPr="00DB3CEC">
        <w:rPr>
          <w:sz w:val="18"/>
          <w:szCs w:val="18"/>
        </w:rPr>
        <w:t>In</w:t>
      </w:r>
      <w:r w:rsidR="00932B09">
        <w:rPr>
          <w:sz w:val="18"/>
          <w:szCs w:val="18"/>
        </w:rPr>
        <w:t xml:space="preserve"> hoofdstuk </w:t>
      </w:r>
      <w:r w:rsidR="00090D44">
        <w:rPr>
          <w:sz w:val="18"/>
          <w:szCs w:val="18"/>
        </w:rPr>
        <w:t xml:space="preserve">4 </w:t>
      </w:r>
      <w:r w:rsidR="007F5F9D">
        <w:rPr>
          <w:sz w:val="18"/>
          <w:szCs w:val="18"/>
        </w:rPr>
        <w:t>van de memorie van</w:t>
      </w:r>
      <w:r w:rsidRPr="00DB3CEC">
        <w:rPr>
          <w:sz w:val="18"/>
          <w:szCs w:val="18"/>
        </w:rPr>
        <w:t xml:space="preserve"> toelichting is </w:t>
      </w:r>
      <w:r w:rsidR="00090D44">
        <w:rPr>
          <w:sz w:val="18"/>
          <w:szCs w:val="18"/>
        </w:rPr>
        <w:t xml:space="preserve">naar aanleiding van de opmerkingen van de Afdeling </w:t>
      </w:r>
      <w:r w:rsidR="007F5F9D">
        <w:rPr>
          <w:sz w:val="18"/>
          <w:szCs w:val="18"/>
        </w:rPr>
        <w:t>toegelicht</w:t>
      </w:r>
      <w:r w:rsidRPr="00DB3CEC">
        <w:rPr>
          <w:sz w:val="18"/>
          <w:szCs w:val="18"/>
        </w:rPr>
        <w:t xml:space="preserve"> hoe de verschillende wijzigingen zich verhouden tot het </w:t>
      </w:r>
      <w:r w:rsidR="00F2529E">
        <w:rPr>
          <w:sz w:val="18"/>
          <w:szCs w:val="18"/>
        </w:rPr>
        <w:t xml:space="preserve">EC-besluit uit 2009. </w:t>
      </w:r>
      <w:r w:rsidRPr="00DB3CEC">
        <w:rPr>
          <w:sz w:val="18"/>
          <w:szCs w:val="18"/>
        </w:rPr>
        <w:t xml:space="preserve">Er is </w:t>
      </w:r>
      <w:r w:rsidR="00C126AC">
        <w:rPr>
          <w:sz w:val="18"/>
          <w:szCs w:val="18"/>
        </w:rPr>
        <w:t>slechts</w:t>
      </w:r>
      <w:r w:rsidRPr="00DB3CEC">
        <w:rPr>
          <w:sz w:val="18"/>
          <w:szCs w:val="18"/>
        </w:rPr>
        <w:t xml:space="preserve"> één wijziging die het staatssteunkader voor woningcorporaties raakt</w:t>
      </w:r>
      <w:r w:rsidR="007F5F9D">
        <w:rPr>
          <w:sz w:val="18"/>
          <w:szCs w:val="18"/>
        </w:rPr>
        <w:t>. Dat</w:t>
      </w:r>
      <w:r w:rsidRPr="00DB3CEC">
        <w:rPr>
          <w:sz w:val="18"/>
          <w:szCs w:val="18"/>
        </w:rPr>
        <w:t xml:space="preserve"> betreft de wijziging </w:t>
      </w:r>
      <w:r w:rsidR="007F5F9D">
        <w:rPr>
          <w:sz w:val="18"/>
          <w:szCs w:val="18"/>
        </w:rPr>
        <w:t>die betrekking heeft op</w:t>
      </w:r>
      <w:r w:rsidRPr="00DB3CEC">
        <w:rPr>
          <w:sz w:val="18"/>
          <w:szCs w:val="18"/>
        </w:rPr>
        <w:t xml:space="preserve"> </w:t>
      </w:r>
      <w:r w:rsidR="000D2C06">
        <w:rPr>
          <w:sz w:val="18"/>
          <w:szCs w:val="18"/>
        </w:rPr>
        <w:t>de exploitatie</w:t>
      </w:r>
      <w:r w:rsidRPr="00DB3CEC">
        <w:rPr>
          <w:sz w:val="18"/>
          <w:szCs w:val="18"/>
        </w:rPr>
        <w:t xml:space="preserve"> van maatschappelijk vastgoed. Het betreft </w:t>
      </w:r>
      <w:r w:rsidR="004147CC">
        <w:rPr>
          <w:sz w:val="18"/>
          <w:szCs w:val="18"/>
        </w:rPr>
        <w:t xml:space="preserve">echter </w:t>
      </w:r>
      <w:r w:rsidRPr="00DB3CEC">
        <w:rPr>
          <w:sz w:val="18"/>
          <w:szCs w:val="18"/>
        </w:rPr>
        <w:t xml:space="preserve">een wijziging waarmee het karakter </w:t>
      </w:r>
      <w:r w:rsidR="000D2C06">
        <w:rPr>
          <w:sz w:val="18"/>
          <w:szCs w:val="18"/>
        </w:rPr>
        <w:t xml:space="preserve">als zodanig </w:t>
      </w:r>
      <w:r w:rsidRPr="00DB3CEC">
        <w:rPr>
          <w:sz w:val="18"/>
          <w:szCs w:val="18"/>
        </w:rPr>
        <w:t>van maatschappelijk vastgoed of de doelstelling van de daarin uitgeoefende functie niet verandert. Het moet nog steeds gaan om op het maatschappelijk belang gerichte werkzaamheden, zonder commerciële doelstellingen. Exploitatie met als doel het behalen van winst, blijft bij de verhuur van het maatschappelijk vastgoed niet toegestaan. Daarmee past de wijziging nog steeds binnen de categorie maatschappelijk vastgoed in het EC-besluit 2009.</w:t>
      </w:r>
      <w:r w:rsidR="00823EFA">
        <w:rPr>
          <w:sz w:val="18"/>
          <w:szCs w:val="18"/>
        </w:rPr>
        <w:t xml:space="preserve"> </w:t>
      </w:r>
      <w:r w:rsidR="0053244A">
        <w:rPr>
          <w:sz w:val="18"/>
          <w:szCs w:val="18"/>
        </w:rPr>
        <w:t>De door de Afdeling aangehaalde wijzigingen met betrekking tot de DAEB-taak</w:t>
      </w:r>
      <w:r w:rsidR="00686E4F">
        <w:rPr>
          <w:sz w:val="18"/>
          <w:szCs w:val="18"/>
        </w:rPr>
        <w:t xml:space="preserve"> zijn gericht op het mogelijk maken van een goede uitvoering van die taak en veranderen die taak niet.</w:t>
      </w:r>
      <w:r w:rsidR="00D328C2">
        <w:rPr>
          <w:sz w:val="18"/>
          <w:szCs w:val="18"/>
        </w:rPr>
        <w:t xml:space="preserve"> </w:t>
      </w:r>
      <w:r w:rsidR="0053244A">
        <w:rPr>
          <w:sz w:val="18"/>
          <w:szCs w:val="18"/>
        </w:rPr>
        <w:t>Als onderdeel van de uitvoering van de DAEB-taak mogen corporaties de huurwoningen die daaronder vallen verduurzamen</w:t>
      </w:r>
      <w:r w:rsidR="00D328C2">
        <w:rPr>
          <w:sz w:val="18"/>
          <w:szCs w:val="18"/>
        </w:rPr>
        <w:t>.</w:t>
      </w:r>
      <w:r w:rsidR="001F7F9D">
        <w:rPr>
          <w:sz w:val="18"/>
          <w:szCs w:val="18"/>
        </w:rPr>
        <w:t xml:space="preserve"> Het maken van de kosten hiervoor is daarom binnen de geldende Europese regelgeving reeds toegestaan.</w:t>
      </w:r>
      <w:r w:rsidR="00D328C2">
        <w:rPr>
          <w:sz w:val="18"/>
          <w:szCs w:val="18"/>
        </w:rPr>
        <w:t xml:space="preserve"> </w:t>
      </w:r>
      <w:r w:rsidR="00686E4F">
        <w:rPr>
          <w:sz w:val="18"/>
          <w:szCs w:val="18"/>
        </w:rPr>
        <w:t xml:space="preserve">Wat betreft het dragen van (overhead)kosten </w:t>
      </w:r>
      <w:r w:rsidR="001F7F9D">
        <w:rPr>
          <w:sz w:val="18"/>
          <w:szCs w:val="18"/>
        </w:rPr>
        <w:t xml:space="preserve">geldt dat de kosten die de corporatie maakt hierdoor niet veranderen. </w:t>
      </w:r>
      <w:r w:rsidR="00D328C2">
        <w:rPr>
          <w:sz w:val="18"/>
          <w:szCs w:val="18"/>
        </w:rPr>
        <w:t xml:space="preserve">Met de door de Afdeling aangehaalde wijziging </w:t>
      </w:r>
      <w:r w:rsidR="00686E4F">
        <w:rPr>
          <w:sz w:val="18"/>
          <w:szCs w:val="18"/>
        </w:rPr>
        <w:t>vindt derhalve geen wijziging van de DAEB-taak zelf plaats, waardoor de wijziging niet aan het staatssteunkader raakt.</w:t>
      </w:r>
      <w:r w:rsidR="00D328C2">
        <w:rPr>
          <w:sz w:val="18"/>
          <w:szCs w:val="18"/>
        </w:rPr>
        <w:t xml:space="preserve"> </w:t>
      </w:r>
      <w:r w:rsidR="00CE5E7A">
        <w:rPr>
          <w:sz w:val="18"/>
          <w:szCs w:val="18"/>
        </w:rPr>
        <w:t>Dit is in de Memorie van Toelichting nader verduidelijkt.</w:t>
      </w:r>
    </w:p>
    <w:p w14:paraId="30C84F38" w14:textId="2AF6129F" w:rsidR="00DB3CEC" w:rsidRDefault="00DB3CEC" w:rsidP="00DB3CEC">
      <w:r w:rsidRPr="00DB3CEC">
        <w:br/>
      </w:r>
      <w:r w:rsidR="00CA1574">
        <w:t>De overige wijzigingen hebben betrekking op het bieden van meer ruimte voor lokaal maatwerk, risico-gericht toezicht en het beperken van de administratieve lasten op onderwerpen die niet raken aan het EC-Besluit 2009.</w:t>
      </w:r>
    </w:p>
    <w:p w14:paraId="409C827A" w14:textId="77777777" w:rsidR="00554E53" w:rsidRDefault="00554E53" w:rsidP="00554E53"/>
    <w:p w14:paraId="4F465E68" w14:textId="0F47F94A" w:rsidR="00C91334" w:rsidRDefault="00554E53" w:rsidP="00554E53">
      <w:r>
        <w:t>V</w:t>
      </w:r>
      <w:r w:rsidR="000D2C06">
        <w:t>erder is v</w:t>
      </w:r>
      <w:r>
        <w:t xml:space="preserve">an de gelegenheid gebruik gemaakt om de volgende wijzigingen door te voeren: </w:t>
      </w:r>
    </w:p>
    <w:p w14:paraId="59A09EAF" w14:textId="710B9700" w:rsidR="00554E53" w:rsidRDefault="00554E53" w:rsidP="00554E53"/>
    <w:p w14:paraId="64ACBCEE" w14:textId="582A92A5" w:rsidR="0010045C" w:rsidRDefault="00634F80" w:rsidP="00B75849">
      <w:pPr>
        <w:pStyle w:val="Lijstalinea"/>
        <w:numPr>
          <w:ilvl w:val="0"/>
          <w:numId w:val="31"/>
        </w:numPr>
      </w:pPr>
      <w:r>
        <w:t xml:space="preserve">De begripsbepaling “voorziening” in artikel </w:t>
      </w:r>
      <w:r w:rsidR="0011472C">
        <w:t xml:space="preserve">I, onderdeel A, van het voorstel </w:t>
      </w:r>
      <w:r w:rsidR="007022D3">
        <w:t xml:space="preserve">is uitgebreid om </w:t>
      </w:r>
      <w:r w:rsidR="006143F2">
        <w:t xml:space="preserve">in dit begrip </w:t>
      </w:r>
      <w:r w:rsidR="007022D3">
        <w:t xml:space="preserve">ruimte te bieden </w:t>
      </w:r>
      <w:r w:rsidR="00F31DF7">
        <w:t xml:space="preserve">voor maatregelen gericht op het opwekken van hernieuwbare energie, zoals het installeren van zonnepanelen. </w:t>
      </w:r>
    </w:p>
    <w:p w14:paraId="7448B2E8" w14:textId="057501EE" w:rsidR="00EC1218" w:rsidRDefault="00EC1218" w:rsidP="00B75849">
      <w:pPr>
        <w:pStyle w:val="Lijstalinea"/>
        <w:numPr>
          <w:ilvl w:val="0"/>
          <w:numId w:val="31"/>
        </w:numPr>
      </w:pPr>
      <w:r>
        <w:t xml:space="preserve">Er is een nieuw artikel II ingevoegd </w:t>
      </w:r>
      <w:r w:rsidR="005764DD">
        <w:t xml:space="preserve">met oog op </w:t>
      </w:r>
      <w:r w:rsidR="000D2C06">
        <w:t xml:space="preserve">het herstellen van een omissie in </w:t>
      </w:r>
      <w:r w:rsidR="005764DD">
        <w:t>de samenloop met de Invoeringswet Omgevingswet</w:t>
      </w:r>
      <w:r w:rsidR="000D2C06">
        <w:t xml:space="preserve"> wat betreft </w:t>
      </w:r>
      <w:r w:rsidR="005764DD">
        <w:t>het begrip “voorziening”</w:t>
      </w:r>
      <w:r w:rsidR="000D2C06">
        <w:t xml:space="preserve"> om te voorkomen dat dit begrip in de Invoeringswet Omgevingswet zou komen te vervallen.</w:t>
      </w:r>
    </w:p>
    <w:p w14:paraId="2B124B56" w14:textId="517DE6CB" w:rsidR="003E714E" w:rsidRDefault="00F56504" w:rsidP="003E714E">
      <w:pPr>
        <w:pStyle w:val="Lijstalinea"/>
        <w:numPr>
          <w:ilvl w:val="0"/>
          <w:numId w:val="31"/>
        </w:numPr>
      </w:pPr>
      <w:r>
        <w:t>De wijziging van artikel 46</w:t>
      </w:r>
      <w:r w:rsidR="00B0338B">
        <w:t>, tweede lid,</w:t>
      </w:r>
      <w:r>
        <w:t xml:space="preserve"> van de Woningwet in artikel I, onderdeel Y, van het voorstel</w:t>
      </w:r>
      <w:r w:rsidR="007F250C">
        <w:t xml:space="preserve"> is aangescherpt</w:t>
      </w:r>
      <w:r w:rsidR="002E455F">
        <w:t xml:space="preserve"> omdat onzelfstandige woningen per abuis ook onder passend toewijzen waren geschaard. Dit wordt met de voorgestelde aanpassing verholpen.</w:t>
      </w:r>
    </w:p>
    <w:p w14:paraId="649E8C5D" w14:textId="2EA73113" w:rsidR="0010045C" w:rsidRDefault="00FF7DB4" w:rsidP="000D2C06">
      <w:pPr>
        <w:pStyle w:val="Lijstalinea"/>
        <w:numPr>
          <w:ilvl w:val="0"/>
          <w:numId w:val="31"/>
        </w:numPr>
      </w:pPr>
      <w:r>
        <w:lastRenderedPageBreak/>
        <w:t>Er wordt voorgesteld een nieuw zevende lid in te voegen in a</w:t>
      </w:r>
      <w:r w:rsidR="003E714E">
        <w:t>r</w:t>
      </w:r>
      <w:r>
        <w:t xml:space="preserve">tikel 48 van de Woningwet in artikel I, onderdeel BB, van het voorstel. </w:t>
      </w:r>
      <w:r w:rsidR="008A78F4">
        <w:t xml:space="preserve">Het lid </w:t>
      </w:r>
      <w:r w:rsidR="008A78F4" w:rsidRPr="008A78F4">
        <w:t xml:space="preserve">is ingevoegd om rekening te houden met de situatie dat er op grond van artikel 45, zevende lid, onderdeel a, </w:t>
      </w:r>
      <w:r w:rsidR="008A78F4">
        <w:t xml:space="preserve">van de Woningwet, </w:t>
      </w:r>
      <w:r w:rsidR="008A78F4" w:rsidRPr="008A78F4">
        <w:t xml:space="preserve">woongelegenheden van derden worden verhuurd. Dergelijke woongelegenheden moeten meegerekend worden in de berekening van </w:t>
      </w:r>
      <w:r w:rsidR="003E714E">
        <w:t>de DAEB</w:t>
      </w:r>
      <w:r w:rsidR="000D2C06">
        <w:t xml:space="preserve"> toewijzingsgrens </w:t>
      </w:r>
      <w:r w:rsidR="008A78F4" w:rsidRPr="008A78F4">
        <w:t>van 90% als bedoeld in het eerste lid</w:t>
      </w:r>
      <w:r w:rsidR="007502D3">
        <w:t xml:space="preserve"> van artikel 48</w:t>
      </w:r>
      <w:r w:rsidR="008A78F4" w:rsidRPr="008A78F4">
        <w:t>.</w:t>
      </w:r>
      <w:r w:rsidR="000D2C06">
        <w:t xml:space="preserve"> Als gevolg van het invoegen van een nieuw zevende lid, is een</w:t>
      </w:r>
      <w:r w:rsidR="005F636F">
        <w:t xml:space="preserve"> aantal verwijzingen in de Woningwet aangepast.</w:t>
      </w:r>
    </w:p>
    <w:p w14:paraId="170AD413" w14:textId="4DEFFE71" w:rsidR="00167016" w:rsidRDefault="00167016" w:rsidP="00F2459C">
      <w:pPr>
        <w:pStyle w:val="Lijstalinea"/>
        <w:numPr>
          <w:ilvl w:val="0"/>
          <w:numId w:val="31"/>
        </w:numPr>
      </w:pPr>
      <w:r>
        <w:t>Ten slotte zijn er in het algemeen deel van de toelichting enkele kleine</w:t>
      </w:r>
      <w:r w:rsidR="003766FB">
        <w:t xml:space="preserve"> </w:t>
      </w:r>
      <w:r w:rsidR="00235B80">
        <w:t>tekstuele</w:t>
      </w:r>
      <w:r w:rsidR="00235B80" w:rsidDel="00235B80">
        <w:t xml:space="preserve"> </w:t>
      </w:r>
      <w:r>
        <w:t xml:space="preserve">toevoegingen gedaan. </w:t>
      </w:r>
    </w:p>
    <w:p w14:paraId="2E9F9868" w14:textId="68424423" w:rsidR="0010045C" w:rsidRDefault="0010045C" w:rsidP="00554E53"/>
    <w:p w14:paraId="739E9EF9" w14:textId="77777777" w:rsidR="0010045C" w:rsidRPr="0010045C" w:rsidRDefault="0010045C" w:rsidP="0010045C">
      <w:r w:rsidRPr="0010045C">
        <w:t>Ik moge U verzoeken het hierbij gevoegde gewijzigde voorstel van wet en de gewijzigde memorie van toelichting aan de Tweede Kamer der Staten-Generaal te zenden.</w:t>
      </w:r>
    </w:p>
    <w:p w14:paraId="513CE25C" w14:textId="0E1BA967" w:rsidR="00F33DC6" w:rsidRDefault="00F33DC6" w:rsidP="00554E53"/>
    <w:p w14:paraId="1E1D3D4B" w14:textId="77777777" w:rsidR="00F33DC6" w:rsidRPr="005764D6" w:rsidRDefault="00F33DC6" w:rsidP="00F33DC6">
      <w:pPr>
        <w:rPr>
          <w:color w:val="000000" w:themeColor="text1"/>
        </w:rPr>
      </w:pPr>
      <w:r w:rsidRPr="005764D6">
        <w:rPr>
          <w:color w:val="000000" w:themeColor="text1"/>
        </w:rPr>
        <w:t>De minister van Binnenlandse Zaken en Koninkrijksrelaties,</w:t>
      </w:r>
    </w:p>
    <w:p w14:paraId="62C5300C" w14:textId="77777777" w:rsidR="00F33DC6" w:rsidRPr="005764D6" w:rsidRDefault="00F33DC6" w:rsidP="00F33DC6">
      <w:pPr>
        <w:rPr>
          <w:color w:val="000000" w:themeColor="text1"/>
        </w:rPr>
      </w:pPr>
    </w:p>
    <w:p w14:paraId="41D13957" w14:textId="77777777" w:rsidR="00F33DC6" w:rsidRPr="005764D6" w:rsidRDefault="00F33DC6" w:rsidP="00F33DC6">
      <w:pPr>
        <w:rPr>
          <w:color w:val="000000" w:themeColor="text1"/>
        </w:rPr>
      </w:pPr>
    </w:p>
    <w:p w14:paraId="1291978C" w14:textId="77777777" w:rsidR="00F33DC6" w:rsidRPr="005764D6" w:rsidRDefault="00F33DC6" w:rsidP="00F33DC6">
      <w:pPr>
        <w:rPr>
          <w:color w:val="000000" w:themeColor="text1"/>
        </w:rPr>
      </w:pPr>
    </w:p>
    <w:p w14:paraId="48808378" w14:textId="27770DDA" w:rsidR="00F33DC6" w:rsidRPr="005764D6" w:rsidRDefault="00053424" w:rsidP="00F33DC6">
      <w:pPr>
        <w:rPr>
          <w:color w:val="000000" w:themeColor="text1"/>
        </w:rPr>
      </w:pPr>
      <w:r>
        <w:rPr>
          <w:color w:val="000000" w:themeColor="text1"/>
        </w:rPr>
        <w:br/>
      </w:r>
    </w:p>
    <w:p w14:paraId="05406937" w14:textId="77777777" w:rsidR="00F33DC6" w:rsidRPr="005764D6" w:rsidRDefault="00F33DC6" w:rsidP="00F33DC6">
      <w:pPr>
        <w:rPr>
          <w:color w:val="000000" w:themeColor="text1"/>
        </w:rPr>
      </w:pPr>
      <w:r w:rsidRPr="005764D6">
        <w:rPr>
          <w:color w:val="000000" w:themeColor="text1"/>
        </w:rPr>
        <w:t>drs. K.H. Ollongren</w:t>
      </w:r>
    </w:p>
    <w:p w14:paraId="1311158F" w14:textId="77777777" w:rsidR="00F33DC6" w:rsidRDefault="00F33DC6" w:rsidP="00F33DC6">
      <w:pPr>
        <w:rPr>
          <w:color w:val="211D1F"/>
        </w:rPr>
      </w:pPr>
    </w:p>
    <w:p w14:paraId="563E984D" w14:textId="77777777" w:rsidR="0010045C" w:rsidRPr="00F33DC6" w:rsidRDefault="0010045C" w:rsidP="00F33DC6"/>
    <w:sectPr w:rsidR="0010045C" w:rsidRPr="00F33DC6">
      <w:headerReference w:type="even" r:id="rId11"/>
      <w:headerReference w:type="default" r:id="rId12"/>
      <w:footerReference w:type="even" r:id="rId13"/>
      <w:footerReference w:type="default" r:id="rId14"/>
      <w:headerReference w:type="first" r:id="rId15"/>
      <w:footerReference w:type="first" r:id="rId16"/>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650E" w14:textId="77777777" w:rsidR="002E65B2" w:rsidRDefault="002E65B2">
      <w:pPr>
        <w:spacing w:line="240" w:lineRule="auto"/>
      </w:pPr>
      <w:r>
        <w:separator/>
      </w:r>
    </w:p>
  </w:endnote>
  <w:endnote w:type="continuationSeparator" w:id="0">
    <w:p w14:paraId="176E623E" w14:textId="77777777" w:rsidR="002E65B2" w:rsidRDefault="002E6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1C209" w14:textId="77777777" w:rsidR="009E3D11" w:rsidRDefault="009E3D1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4D4C6" w14:textId="77777777" w:rsidR="009E3D11" w:rsidRDefault="009E3D1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D27AF" w14:textId="77777777" w:rsidR="00C91334" w:rsidRDefault="00C91334">
    <w:pPr>
      <w:pStyle w:val="MarginlessContainer"/>
      <w:spacing w:after="110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6B1EF" w14:textId="77777777" w:rsidR="002E65B2" w:rsidRDefault="002E65B2">
      <w:pPr>
        <w:spacing w:line="240" w:lineRule="auto"/>
      </w:pPr>
      <w:r>
        <w:separator/>
      </w:r>
    </w:p>
  </w:footnote>
  <w:footnote w:type="continuationSeparator" w:id="0">
    <w:p w14:paraId="3B7981A9" w14:textId="77777777" w:rsidR="002E65B2" w:rsidRDefault="002E65B2">
      <w:pPr>
        <w:spacing w:line="240" w:lineRule="auto"/>
      </w:pPr>
      <w:r>
        <w:continuationSeparator/>
      </w:r>
    </w:p>
  </w:footnote>
  <w:footnote w:id="1">
    <w:p w14:paraId="29AFCF7D" w14:textId="4AA38ECF" w:rsidR="00E94C6C" w:rsidRDefault="00E94C6C">
      <w:pPr>
        <w:pStyle w:val="Voetnoottekst"/>
      </w:pPr>
      <w:r>
        <w:rPr>
          <w:rStyle w:val="Voetnootmarkering"/>
        </w:rPr>
        <w:footnoteRef/>
      </w:r>
      <w:r>
        <w:t xml:space="preserve"> </w:t>
      </w:r>
      <w:r w:rsidRPr="00287E12">
        <w:rPr>
          <w:rFonts w:ascii="Verdana" w:hAnsi="Verdana"/>
          <w:sz w:val="16"/>
          <w:szCs w:val="16"/>
        </w:rPr>
        <w:t>Kamerstukken 2018/2019, 32847, nr. 470.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6D9B" w14:textId="77777777" w:rsidR="009E3D11" w:rsidRDefault="009E3D1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92675" w14:textId="77777777" w:rsidR="00C91334" w:rsidRDefault="00554E53">
    <w:pPr>
      <w:pStyle w:val="MarginlessContainer"/>
    </w:pPr>
    <w:r>
      <w:rPr>
        <w:noProof/>
      </w:rPr>
      <mc:AlternateContent>
        <mc:Choice Requires="wps">
          <w:drawing>
            <wp:anchor distT="0" distB="0" distL="0" distR="0" simplePos="0" relativeHeight="251651584" behindDoc="0" locked="1" layoutInCell="1" allowOverlap="1" wp14:anchorId="41E5E7AE" wp14:editId="2BF5E4CA">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6A044624" w14:textId="77777777" w:rsidR="00FD56EA" w:rsidRDefault="00FD56EA"/>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type w14:anchorId="41E5E7A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6A044624" w14:textId="77777777" w:rsidR="00FD56EA" w:rsidRDefault="00FD56EA"/>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1356E66A" wp14:editId="07D2197F">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45DC7BBB" w14:textId="6F1498D8" w:rsidR="00C91334" w:rsidRDefault="00554E53">
                          <w:pPr>
                            <w:pStyle w:val="Referentiegegevens"/>
                          </w:pPr>
                          <w:r>
                            <w:t xml:space="preserve">Pagina </w:t>
                          </w:r>
                          <w:r>
                            <w:fldChar w:fldCharType="begin"/>
                          </w:r>
                          <w:r>
                            <w:instrText>PAGE</w:instrText>
                          </w:r>
                          <w:r>
                            <w:fldChar w:fldCharType="separate"/>
                          </w:r>
                          <w:r w:rsidR="009E7FFB">
                            <w:rPr>
                              <w:noProof/>
                            </w:rPr>
                            <w:t>2</w:t>
                          </w:r>
                          <w:r>
                            <w:fldChar w:fldCharType="end"/>
                          </w:r>
                          <w:r>
                            <w:t xml:space="preserve"> van </w:t>
                          </w:r>
                          <w:r>
                            <w:fldChar w:fldCharType="begin"/>
                          </w:r>
                          <w:r>
                            <w:instrText>NUMPAGES</w:instrText>
                          </w:r>
                          <w:r>
                            <w:fldChar w:fldCharType="separate"/>
                          </w:r>
                          <w:r w:rsidR="009E7FFB">
                            <w:rPr>
                              <w:noProof/>
                            </w:rPr>
                            <w:t>4</w:t>
                          </w:r>
                          <w:r>
                            <w:fldChar w:fldCharType="end"/>
                          </w:r>
                        </w:p>
                      </w:txbxContent>
                    </wps:txbx>
                    <wps:bodyPr vert="horz" wrap="square" lIns="0" tIns="0" rIns="0" bIns="0" anchor="t" anchorCtr="0"/>
                  </wps:wsp>
                </a:graphicData>
              </a:graphic>
            </wp:anchor>
          </w:drawing>
        </mc:Choice>
        <mc:Fallback>
          <w:pict>
            <v:shapetype w14:anchorId="1356E66A" id="_x0000_t202" coordsize="21600,21600" o:spt="202" path="m,l,21600r21600,l21600,xe">
              <v:stroke joinstyle="miter"/>
              <v:path gradientshapeok="t" o:connecttype="rect"/>
            </v:shapetype>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45DC7BBB" w14:textId="6F1498D8" w:rsidR="00C91334" w:rsidRDefault="00554E53">
                    <w:pPr>
                      <w:pStyle w:val="Referentiegegevens"/>
                    </w:pPr>
                    <w:r>
                      <w:t xml:space="preserve">Pagina </w:t>
                    </w:r>
                    <w:r>
                      <w:fldChar w:fldCharType="begin"/>
                    </w:r>
                    <w:r>
                      <w:instrText>PAGE</w:instrText>
                    </w:r>
                    <w:r>
                      <w:fldChar w:fldCharType="separate"/>
                    </w:r>
                    <w:r w:rsidR="009E7FFB">
                      <w:rPr>
                        <w:noProof/>
                      </w:rPr>
                      <w:t>2</w:t>
                    </w:r>
                    <w:r>
                      <w:fldChar w:fldCharType="end"/>
                    </w:r>
                    <w:r>
                      <w:t xml:space="preserve"> van </w:t>
                    </w:r>
                    <w:r>
                      <w:fldChar w:fldCharType="begin"/>
                    </w:r>
                    <w:r>
                      <w:instrText>NUMPAGES</w:instrText>
                    </w:r>
                    <w:r>
                      <w:fldChar w:fldCharType="separate"/>
                    </w:r>
                    <w:r w:rsidR="009E7FFB">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2228DE54" wp14:editId="14E5F10B">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503C6FE7" w14:textId="77777777" w:rsidR="00C91334" w:rsidRDefault="00C91334">
                          <w:pPr>
                            <w:pStyle w:val="WitregelW1"/>
                          </w:pPr>
                        </w:p>
                        <w:p w14:paraId="399DC630" w14:textId="77777777" w:rsidR="00C91334" w:rsidRDefault="00554E53">
                          <w:pPr>
                            <w:pStyle w:val="Kopjereferentiegegevens"/>
                          </w:pPr>
                          <w:r>
                            <w:t>Kenmerk</w:t>
                          </w:r>
                        </w:p>
                        <w:p w14:paraId="74C8EE09" w14:textId="061D1DA2" w:rsidR="00C91334" w:rsidRDefault="003A77FE">
                          <w:pPr>
                            <w:pStyle w:val="Referentiegegevens"/>
                          </w:pPr>
                          <w:fldSimple w:instr=" DOCPROPERTY  &quot;Kenmerk&quot;  \* MERGEFORMAT ">
                            <w:r w:rsidR="0014069D">
                              <w:t>2020-0000350528</w:t>
                            </w:r>
                          </w:fldSimple>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2228DE54"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503C6FE7" w14:textId="77777777" w:rsidR="00C91334" w:rsidRDefault="00C91334">
                    <w:pPr>
                      <w:pStyle w:val="WitregelW1"/>
                    </w:pPr>
                  </w:p>
                  <w:p w14:paraId="399DC630" w14:textId="77777777" w:rsidR="00C91334" w:rsidRDefault="00554E53">
                    <w:pPr>
                      <w:pStyle w:val="Kopjereferentiegegevens"/>
                    </w:pPr>
                    <w:r>
                      <w:t>Kenmerk</w:t>
                    </w:r>
                  </w:p>
                  <w:p w14:paraId="74C8EE09" w14:textId="061D1DA2" w:rsidR="00C91334" w:rsidRDefault="0014069D">
                    <w:pPr>
                      <w:pStyle w:val="Referentiegegevens"/>
                    </w:pPr>
                    <w:fldSimple w:instr=" DOCPROPERTY  &quot;Kenmerk&quot;  \* MERGEFORMAT ">
                      <w:r>
                        <w:t>2020-0000350528</w:t>
                      </w:r>
                    </w:fldSimple>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545CF322" wp14:editId="0CE84BC7">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2960A506" w14:textId="77777777" w:rsidR="00FD56EA" w:rsidRDefault="00FD56EA"/>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545CF322"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2960A506" w14:textId="77777777" w:rsidR="00FD56EA" w:rsidRDefault="00FD56EA"/>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D9200" w14:textId="77777777" w:rsidR="00C91334" w:rsidRDefault="00554E53">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46AFBE66" wp14:editId="5F28363B">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66D53150" w14:textId="77777777" w:rsidR="00FD56EA" w:rsidRDefault="00FD56EA"/>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type w14:anchorId="46AFBE66"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66D53150" w14:textId="77777777" w:rsidR="00FD56EA" w:rsidRDefault="00FD56EA"/>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24B553D8" wp14:editId="5B5E5A36">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55BA58E1" w14:textId="77777777" w:rsidR="00C91334" w:rsidRDefault="00554E53">
                          <w:pPr>
                            <w:pStyle w:val="MarginlessContainer"/>
                          </w:pPr>
                          <w:r>
                            <w:rPr>
                              <w:noProof/>
                            </w:rPr>
                            <w:drawing>
                              <wp:inline distT="0" distB="0" distL="0" distR="0" wp14:anchorId="5758C4D0" wp14:editId="03834F5C">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24B553D8"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55BA58E1" w14:textId="77777777" w:rsidR="00C91334" w:rsidRDefault="00554E53">
                    <w:pPr>
                      <w:pStyle w:val="MarginlessContainer"/>
                    </w:pPr>
                    <w:r>
                      <w:rPr>
                        <w:noProof/>
                      </w:rPr>
                      <w:drawing>
                        <wp:inline distT="0" distB="0" distL="0" distR="0" wp14:anchorId="5758C4D0" wp14:editId="03834F5C">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DB7B42A" wp14:editId="1B879457">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72501C9A" w14:textId="77777777" w:rsidR="00F140B4" w:rsidRDefault="00F140B4" w:rsidP="00F140B4">
                          <w:pPr>
                            <w:pStyle w:val="Referentiegegevens"/>
                          </w:pPr>
                          <w:r>
                            <w:t>&gt; Retouradres Postbus 20011 2500 EA  Den Haag</w:t>
                          </w:r>
                        </w:p>
                        <w:p w14:paraId="06663C68" w14:textId="77777777" w:rsidR="00FD56EA" w:rsidRDefault="00FD56EA"/>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4DB7B42A"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72501C9A" w14:textId="77777777" w:rsidR="00F140B4" w:rsidRDefault="00F140B4" w:rsidP="00F140B4">
                    <w:pPr>
                      <w:pStyle w:val="Referentiegegevens"/>
                    </w:pPr>
                    <w:r>
                      <w:t>&gt; Retouradres Postbus 20011 2500 EA  Den Haag</w:t>
                    </w:r>
                  </w:p>
                  <w:p w14:paraId="06663C68" w14:textId="77777777" w:rsidR="00FD56EA" w:rsidRDefault="00FD56EA"/>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3B52825B" wp14:editId="675FB21A">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6A152A0C" w14:textId="2418FAAD" w:rsidR="00C91334" w:rsidRDefault="003A77FE">
                          <w:fldSimple w:instr=" DOCPROPERTY  &quot;Aan&quot;  \* MERGEFORMAT ">
                            <w:r w:rsidR="0014069D">
                              <w:t>Aan de Koning</w:t>
                            </w:r>
                          </w:fldSimple>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3B52825B"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6A152A0C" w14:textId="2418FAAD" w:rsidR="00C91334" w:rsidRDefault="0014069D">
                    <w:fldSimple w:instr=" DOCPROPERTY  &quot;Aan&quot;  \* MERGEFORMAT ">
                      <w:r>
                        <w:t>Aan de Koning</w:t>
                      </w:r>
                    </w:fldSimple>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5D406F80" wp14:editId="0C027C76">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C91334" w14:paraId="3A04E724" w14:textId="77777777">
                            <w:trPr>
                              <w:trHeight w:val="200"/>
                            </w:trPr>
                            <w:tc>
                              <w:tcPr>
                                <w:tcW w:w="1140" w:type="dxa"/>
                              </w:tcPr>
                              <w:p w14:paraId="5D403779" w14:textId="77777777" w:rsidR="00C91334" w:rsidRDefault="00C91334"/>
                            </w:tc>
                            <w:tc>
                              <w:tcPr>
                                <w:tcW w:w="5918" w:type="dxa"/>
                              </w:tcPr>
                              <w:p w14:paraId="039D063C" w14:textId="77777777" w:rsidR="00C91334" w:rsidRDefault="00C91334"/>
                            </w:tc>
                          </w:tr>
                          <w:tr w:rsidR="00C91334" w14:paraId="6FB32D41" w14:textId="77777777">
                            <w:trPr>
                              <w:trHeight w:val="300"/>
                            </w:trPr>
                            <w:tc>
                              <w:tcPr>
                                <w:tcW w:w="1140" w:type="dxa"/>
                              </w:tcPr>
                              <w:p w14:paraId="69242485" w14:textId="77777777" w:rsidR="00C91334" w:rsidRDefault="00554E53">
                                <w:r>
                                  <w:t>Datum</w:t>
                                </w:r>
                              </w:p>
                            </w:tc>
                            <w:tc>
                              <w:tcPr>
                                <w:tcW w:w="5918" w:type="dxa"/>
                              </w:tcPr>
                              <w:p w14:paraId="2A99F75B" w14:textId="1FB44533" w:rsidR="00C91334" w:rsidRDefault="0014069D" w:rsidP="00A66D17">
                                <w:pPr>
                                  <w:pStyle w:val="Gegevensdocument"/>
                                </w:pPr>
                                <w:r>
                                  <w:t>1 juli 2020</w:t>
                                </w:r>
                              </w:p>
                            </w:tc>
                          </w:tr>
                          <w:tr w:rsidR="00C91334" w14:paraId="0E96864E" w14:textId="77777777">
                            <w:trPr>
                              <w:trHeight w:val="300"/>
                            </w:trPr>
                            <w:tc>
                              <w:tcPr>
                                <w:tcW w:w="1140" w:type="dxa"/>
                              </w:tcPr>
                              <w:p w14:paraId="47DC1697" w14:textId="77777777" w:rsidR="00C91334" w:rsidRDefault="00554E53">
                                <w:r>
                                  <w:t>Betreft</w:t>
                                </w:r>
                              </w:p>
                            </w:tc>
                            <w:tc>
                              <w:tcPr>
                                <w:tcW w:w="5918" w:type="dxa"/>
                              </w:tcPr>
                              <w:p w14:paraId="615B81FC" w14:textId="5B8EF740" w:rsidR="00C91334" w:rsidRDefault="003A77FE">
                                <w:r>
                                  <w:fldChar w:fldCharType="begin"/>
                                </w:r>
                                <w:r>
                                  <w:instrText xml:space="preserve"> DOCPROPERTY  "Onderwerp"  \* MERGEFORMAT </w:instrText>
                                </w:r>
                                <w:r>
                                  <w:fldChar w:fldCharType="separate"/>
                                </w:r>
                                <w:r w:rsidR="0014069D">
                                  <w:t xml:space="preserve">Nader rapport bij het voorstel van wet tot wijziging van de Woningwet naar aanleiding van de evaluatie van de </w:t>
                                </w:r>
                                <w:proofErr w:type="spellStart"/>
                                <w:r w:rsidR="0014069D">
                                  <w:t>herziene</w:t>
                                </w:r>
                                <w:proofErr w:type="spellEnd"/>
                                <w:r w:rsidR="0014069D">
                                  <w:t xml:space="preserve"> Woningwet</w:t>
                                </w:r>
                                <w:r>
                                  <w:fldChar w:fldCharType="end"/>
                                </w:r>
                              </w:p>
                            </w:tc>
                          </w:tr>
                          <w:tr w:rsidR="00C91334" w14:paraId="3EB9C7C6" w14:textId="77777777">
                            <w:trPr>
                              <w:trHeight w:val="200"/>
                            </w:trPr>
                            <w:tc>
                              <w:tcPr>
                                <w:tcW w:w="1140" w:type="dxa"/>
                              </w:tcPr>
                              <w:p w14:paraId="3FAB0513" w14:textId="77777777" w:rsidR="00C91334" w:rsidRDefault="00C91334"/>
                            </w:tc>
                            <w:tc>
                              <w:tcPr>
                                <w:tcW w:w="5918" w:type="dxa"/>
                              </w:tcPr>
                              <w:p w14:paraId="1EEE8039" w14:textId="77777777" w:rsidR="00C91334" w:rsidRDefault="00C91334"/>
                            </w:tc>
                          </w:tr>
                        </w:tbl>
                        <w:p w14:paraId="7831D230" w14:textId="77777777" w:rsidR="00FD56EA" w:rsidRDefault="00FD56EA"/>
                      </w:txbxContent>
                    </wps:txbx>
                    <wps:bodyPr vert="horz" wrap="square" lIns="0" tIns="0" rIns="0" bIns="0" anchor="t" anchorCtr="0"/>
                  </wps:wsp>
                </a:graphicData>
              </a:graphic>
            </wp:anchor>
          </w:drawing>
        </mc:Choice>
        <mc:Fallback>
          <w:pict>
            <v:shapetype w14:anchorId="5D406F80" id="_x0000_t202" coordsize="21600,21600" o:spt="202" path="m,l,21600r21600,l21600,xe">
              <v:stroke joinstyle="miter"/>
              <v:path gradientshapeok="t" o:connecttype="rect"/>
            </v:shapetype>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C91334" w14:paraId="3A04E724" w14:textId="77777777">
                      <w:trPr>
                        <w:trHeight w:val="200"/>
                      </w:trPr>
                      <w:tc>
                        <w:tcPr>
                          <w:tcW w:w="1140" w:type="dxa"/>
                        </w:tcPr>
                        <w:p w14:paraId="5D403779" w14:textId="77777777" w:rsidR="00C91334" w:rsidRDefault="00C91334"/>
                      </w:tc>
                      <w:tc>
                        <w:tcPr>
                          <w:tcW w:w="5918" w:type="dxa"/>
                        </w:tcPr>
                        <w:p w14:paraId="039D063C" w14:textId="77777777" w:rsidR="00C91334" w:rsidRDefault="00C91334"/>
                      </w:tc>
                    </w:tr>
                    <w:tr w:rsidR="00C91334" w14:paraId="6FB32D41" w14:textId="77777777">
                      <w:trPr>
                        <w:trHeight w:val="300"/>
                      </w:trPr>
                      <w:tc>
                        <w:tcPr>
                          <w:tcW w:w="1140" w:type="dxa"/>
                        </w:tcPr>
                        <w:p w14:paraId="69242485" w14:textId="77777777" w:rsidR="00C91334" w:rsidRDefault="00554E53">
                          <w:r>
                            <w:t>Datum</w:t>
                          </w:r>
                        </w:p>
                      </w:tc>
                      <w:tc>
                        <w:tcPr>
                          <w:tcW w:w="5918" w:type="dxa"/>
                        </w:tcPr>
                        <w:p w14:paraId="2A99F75B" w14:textId="1FB44533" w:rsidR="00C91334" w:rsidRDefault="0014069D" w:rsidP="00A66D17">
                          <w:pPr>
                            <w:pStyle w:val="Gegevensdocument"/>
                          </w:pPr>
                          <w:r>
                            <w:t>1 juli 2020</w:t>
                          </w:r>
                        </w:p>
                      </w:tc>
                    </w:tr>
                    <w:tr w:rsidR="00C91334" w14:paraId="0E96864E" w14:textId="77777777">
                      <w:trPr>
                        <w:trHeight w:val="300"/>
                      </w:trPr>
                      <w:tc>
                        <w:tcPr>
                          <w:tcW w:w="1140" w:type="dxa"/>
                        </w:tcPr>
                        <w:p w14:paraId="47DC1697" w14:textId="77777777" w:rsidR="00C91334" w:rsidRDefault="00554E53">
                          <w:r>
                            <w:t>Betreft</w:t>
                          </w:r>
                        </w:p>
                      </w:tc>
                      <w:tc>
                        <w:tcPr>
                          <w:tcW w:w="5918" w:type="dxa"/>
                        </w:tcPr>
                        <w:p w14:paraId="615B81FC" w14:textId="5B8EF740" w:rsidR="00C91334" w:rsidRDefault="003A77FE">
                          <w:r>
                            <w:fldChar w:fldCharType="begin"/>
                          </w:r>
                          <w:r>
                            <w:instrText xml:space="preserve"> DOCPROPERTY  "Onderwerp"  \* MERGEFORMAT </w:instrText>
                          </w:r>
                          <w:r>
                            <w:fldChar w:fldCharType="separate"/>
                          </w:r>
                          <w:r w:rsidR="0014069D">
                            <w:t xml:space="preserve">Nader rapport bij het voorstel van wet tot wijziging van de Woningwet naar aanleiding van de evaluatie van de </w:t>
                          </w:r>
                          <w:proofErr w:type="spellStart"/>
                          <w:r w:rsidR="0014069D">
                            <w:t>herziene</w:t>
                          </w:r>
                          <w:proofErr w:type="spellEnd"/>
                          <w:r w:rsidR="0014069D">
                            <w:t xml:space="preserve"> Woningwet</w:t>
                          </w:r>
                          <w:r>
                            <w:fldChar w:fldCharType="end"/>
                          </w:r>
                        </w:p>
                      </w:tc>
                    </w:tr>
                    <w:tr w:rsidR="00C91334" w14:paraId="3EB9C7C6" w14:textId="77777777">
                      <w:trPr>
                        <w:trHeight w:val="200"/>
                      </w:trPr>
                      <w:tc>
                        <w:tcPr>
                          <w:tcW w:w="1140" w:type="dxa"/>
                        </w:tcPr>
                        <w:p w14:paraId="3FAB0513" w14:textId="77777777" w:rsidR="00C91334" w:rsidRDefault="00C91334"/>
                      </w:tc>
                      <w:tc>
                        <w:tcPr>
                          <w:tcW w:w="5918" w:type="dxa"/>
                        </w:tcPr>
                        <w:p w14:paraId="1EEE8039" w14:textId="77777777" w:rsidR="00C91334" w:rsidRDefault="00C91334"/>
                      </w:tc>
                    </w:tr>
                  </w:tbl>
                  <w:p w14:paraId="7831D230" w14:textId="77777777" w:rsidR="00FD56EA" w:rsidRDefault="00FD56EA"/>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566D711D" wp14:editId="3F9952DB">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4747C48C" w14:textId="77777777" w:rsidR="00F140B4" w:rsidRDefault="00F140B4" w:rsidP="00F140B4">
                          <w:pPr>
                            <w:pStyle w:val="Kopjeafzendgegevens"/>
                          </w:pPr>
                          <w:r>
                            <w:t>Directie Constitutionele Zaken en Wetgeving</w:t>
                          </w:r>
                        </w:p>
                        <w:p w14:paraId="274C0B2C" w14:textId="77777777" w:rsidR="00F140B4" w:rsidRDefault="00F140B4" w:rsidP="00F140B4">
                          <w:pPr>
                            <w:pStyle w:val="WitregelW1"/>
                          </w:pPr>
                        </w:p>
                        <w:p w14:paraId="2B55686F" w14:textId="77777777" w:rsidR="00F140B4" w:rsidRDefault="00F140B4" w:rsidP="00F140B4">
                          <w:pPr>
                            <w:pStyle w:val="WitregelW1"/>
                          </w:pPr>
                        </w:p>
                        <w:p w14:paraId="06942ED0" w14:textId="77777777" w:rsidR="00F140B4" w:rsidRDefault="00F140B4" w:rsidP="00F140B4">
                          <w:pPr>
                            <w:pStyle w:val="Afzendgegevens"/>
                          </w:pPr>
                          <w:r>
                            <w:t>Turfmarkt 147</w:t>
                          </w:r>
                        </w:p>
                        <w:p w14:paraId="7DD495C9" w14:textId="77777777" w:rsidR="00F140B4" w:rsidRDefault="00F140B4" w:rsidP="00F140B4">
                          <w:pPr>
                            <w:pStyle w:val="Afzendgegevens"/>
                            <w:rPr>
                              <w:lang w:val="de-DE"/>
                            </w:rPr>
                          </w:pPr>
                          <w:r>
                            <w:rPr>
                              <w:lang w:val="de-DE"/>
                            </w:rPr>
                            <w:t>Den Haag</w:t>
                          </w:r>
                        </w:p>
                        <w:p w14:paraId="5F833103" w14:textId="77777777" w:rsidR="00F140B4" w:rsidRDefault="00F140B4" w:rsidP="00F140B4">
                          <w:pPr>
                            <w:pStyle w:val="Afzendgegevens"/>
                            <w:rPr>
                              <w:lang w:val="de-DE"/>
                            </w:rPr>
                          </w:pPr>
                          <w:r>
                            <w:rPr>
                              <w:lang w:val="de-DE"/>
                            </w:rPr>
                            <w:t>Postbus 20011</w:t>
                          </w:r>
                        </w:p>
                        <w:p w14:paraId="46FC16A2" w14:textId="77777777" w:rsidR="00F140B4" w:rsidRDefault="00F140B4" w:rsidP="00F140B4">
                          <w:pPr>
                            <w:pStyle w:val="Afzendgegevens"/>
                            <w:rPr>
                              <w:lang w:val="de-DE"/>
                            </w:rPr>
                          </w:pPr>
                          <w:r>
                            <w:rPr>
                              <w:lang w:val="de-DE"/>
                            </w:rPr>
                            <w:t>2500 EA Den Haag</w:t>
                          </w:r>
                        </w:p>
                        <w:p w14:paraId="4FFD16D3" w14:textId="77777777" w:rsidR="00F140B4" w:rsidRPr="007F6419" w:rsidRDefault="00F140B4">
                          <w:pPr>
                            <w:pStyle w:val="Afzendgegevens"/>
                            <w:rPr>
                              <w:lang w:val="de-DE"/>
                            </w:rPr>
                          </w:pPr>
                        </w:p>
                        <w:p w14:paraId="3B616B8D" w14:textId="77777777" w:rsidR="00C91334" w:rsidRPr="007F6419" w:rsidRDefault="00554E53">
                          <w:pPr>
                            <w:pStyle w:val="Afzendgegevens"/>
                            <w:rPr>
                              <w:lang w:val="de-DE"/>
                            </w:rPr>
                          </w:pPr>
                          <w:r w:rsidRPr="007F6419">
                            <w:rPr>
                              <w:lang w:val="de-DE"/>
                            </w:rPr>
                            <w:t>www.rijksoverheid.nl</w:t>
                          </w:r>
                        </w:p>
                        <w:p w14:paraId="2367E454" w14:textId="77777777" w:rsidR="00C91334" w:rsidRPr="007F6419" w:rsidRDefault="00554E53">
                          <w:pPr>
                            <w:pStyle w:val="Afzendgegevens"/>
                            <w:rPr>
                              <w:lang w:val="de-DE"/>
                            </w:rPr>
                          </w:pPr>
                          <w:r w:rsidRPr="007F6419">
                            <w:rPr>
                              <w:lang w:val="de-DE"/>
                            </w:rPr>
                            <w:t>www.facebook.com/minbzk</w:t>
                          </w:r>
                        </w:p>
                        <w:p w14:paraId="63AF37C4" w14:textId="77777777" w:rsidR="00C91334" w:rsidRPr="007F6419" w:rsidRDefault="00554E53">
                          <w:pPr>
                            <w:pStyle w:val="Afzendgegevens"/>
                            <w:rPr>
                              <w:lang w:val="de-DE"/>
                            </w:rPr>
                          </w:pPr>
                          <w:r w:rsidRPr="007F6419">
                            <w:rPr>
                              <w:lang w:val="de-DE"/>
                            </w:rPr>
                            <w:t>www.twitter.com/minbzk</w:t>
                          </w:r>
                        </w:p>
                        <w:p w14:paraId="53FB3E75" w14:textId="77777777" w:rsidR="00C91334" w:rsidRPr="007F6419" w:rsidRDefault="00554E53">
                          <w:pPr>
                            <w:pStyle w:val="Afzendgegevens"/>
                            <w:rPr>
                              <w:lang w:val="de-DE"/>
                            </w:rPr>
                          </w:pPr>
                          <w:r w:rsidRPr="007F6419">
                            <w:rPr>
                              <w:lang w:val="de-DE"/>
                            </w:rPr>
                            <w:t>www.linkedin.com/company/ministerie-van-bzk</w:t>
                          </w:r>
                        </w:p>
                        <w:p w14:paraId="6897E9B1" w14:textId="77777777" w:rsidR="00C91334" w:rsidRPr="007F6419" w:rsidRDefault="00C91334">
                          <w:pPr>
                            <w:pStyle w:val="WitregelW1"/>
                            <w:rPr>
                              <w:lang w:val="de-DE"/>
                            </w:rPr>
                          </w:pPr>
                        </w:p>
                        <w:p w14:paraId="26ED0751" w14:textId="77777777" w:rsidR="00C91334" w:rsidRDefault="00554E53">
                          <w:pPr>
                            <w:pStyle w:val="Kopjereferentiegegevens"/>
                          </w:pPr>
                          <w:r>
                            <w:t>Kenmerk</w:t>
                          </w:r>
                        </w:p>
                        <w:p w14:paraId="6E3E63FF" w14:textId="3881C095" w:rsidR="00C91334" w:rsidRDefault="003A77FE">
                          <w:pPr>
                            <w:pStyle w:val="Referentiegegevens"/>
                          </w:pPr>
                          <w:fldSimple w:instr=" DOCPROPERTY  &quot;Kenmerk&quot;  \* MERGEFORMAT ">
                            <w:r w:rsidR="0014069D">
                              <w:t>2020-0000350528</w:t>
                            </w:r>
                          </w:fldSimple>
                        </w:p>
                        <w:p w14:paraId="6A8F28F7" w14:textId="77777777" w:rsidR="00C91334" w:rsidRDefault="00C91334">
                          <w:pPr>
                            <w:pStyle w:val="WitregelW1"/>
                          </w:pPr>
                        </w:p>
                        <w:p w14:paraId="11238B56" w14:textId="77777777" w:rsidR="00C91334" w:rsidRDefault="00554E53">
                          <w:pPr>
                            <w:pStyle w:val="Kopjereferentiegegevens"/>
                          </w:pPr>
                          <w:r>
                            <w:t>Uw kenmerk</w:t>
                          </w:r>
                        </w:p>
                        <w:p w14:paraId="1BA52289" w14:textId="192A2A8D" w:rsidR="00C91334" w:rsidRDefault="00554E53">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566D711D"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4747C48C" w14:textId="77777777" w:rsidR="00F140B4" w:rsidRDefault="00F140B4" w:rsidP="00F140B4">
                    <w:pPr>
                      <w:pStyle w:val="Kopjeafzendgegevens"/>
                    </w:pPr>
                    <w:r>
                      <w:t>Directie Constitutionele Zaken en Wetgeving</w:t>
                    </w:r>
                  </w:p>
                  <w:p w14:paraId="274C0B2C" w14:textId="77777777" w:rsidR="00F140B4" w:rsidRDefault="00F140B4" w:rsidP="00F140B4">
                    <w:pPr>
                      <w:pStyle w:val="WitregelW1"/>
                    </w:pPr>
                  </w:p>
                  <w:p w14:paraId="2B55686F" w14:textId="77777777" w:rsidR="00F140B4" w:rsidRDefault="00F140B4" w:rsidP="00F140B4">
                    <w:pPr>
                      <w:pStyle w:val="WitregelW1"/>
                    </w:pPr>
                  </w:p>
                  <w:p w14:paraId="06942ED0" w14:textId="77777777" w:rsidR="00F140B4" w:rsidRDefault="00F140B4" w:rsidP="00F140B4">
                    <w:pPr>
                      <w:pStyle w:val="Afzendgegevens"/>
                    </w:pPr>
                    <w:r>
                      <w:t>Turfmarkt 147</w:t>
                    </w:r>
                  </w:p>
                  <w:p w14:paraId="7DD495C9" w14:textId="77777777" w:rsidR="00F140B4" w:rsidRDefault="00F140B4" w:rsidP="00F140B4">
                    <w:pPr>
                      <w:pStyle w:val="Afzendgegevens"/>
                      <w:rPr>
                        <w:lang w:val="de-DE"/>
                      </w:rPr>
                    </w:pPr>
                    <w:r>
                      <w:rPr>
                        <w:lang w:val="de-DE"/>
                      </w:rPr>
                      <w:t>Den Haag</w:t>
                    </w:r>
                  </w:p>
                  <w:p w14:paraId="5F833103" w14:textId="77777777" w:rsidR="00F140B4" w:rsidRDefault="00F140B4" w:rsidP="00F140B4">
                    <w:pPr>
                      <w:pStyle w:val="Afzendgegevens"/>
                      <w:rPr>
                        <w:lang w:val="de-DE"/>
                      </w:rPr>
                    </w:pPr>
                    <w:r>
                      <w:rPr>
                        <w:lang w:val="de-DE"/>
                      </w:rPr>
                      <w:t>Postbus 20011</w:t>
                    </w:r>
                  </w:p>
                  <w:p w14:paraId="46FC16A2" w14:textId="77777777" w:rsidR="00F140B4" w:rsidRDefault="00F140B4" w:rsidP="00F140B4">
                    <w:pPr>
                      <w:pStyle w:val="Afzendgegevens"/>
                      <w:rPr>
                        <w:lang w:val="de-DE"/>
                      </w:rPr>
                    </w:pPr>
                    <w:r>
                      <w:rPr>
                        <w:lang w:val="de-DE"/>
                      </w:rPr>
                      <w:t>2500 EA Den Haag</w:t>
                    </w:r>
                  </w:p>
                  <w:p w14:paraId="4FFD16D3" w14:textId="77777777" w:rsidR="00F140B4" w:rsidRPr="007F6419" w:rsidRDefault="00F140B4">
                    <w:pPr>
                      <w:pStyle w:val="Afzendgegevens"/>
                      <w:rPr>
                        <w:lang w:val="de-DE"/>
                      </w:rPr>
                    </w:pPr>
                  </w:p>
                  <w:p w14:paraId="3B616B8D" w14:textId="77777777" w:rsidR="00C91334" w:rsidRPr="007F6419" w:rsidRDefault="00554E53">
                    <w:pPr>
                      <w:pStyle w:val="Afzendgegevens"/>
                      <w:rPr>
                        <w:lang w:val="de-DE"/>
                      </w:rPr>
                    </w:pPr>
                    <w:r w:rsidRPr="007F6419">
                      <w:rPr>
                        <w:lang w:val="de-DE"/>
                      </w:rPr>
                      <w:t>www.rijksoverheid.nl</w:t>
                    </w:r>
                  </w:p>
                  <w:p w14:paraId="2367E454" w14:textId="77777777" w:rsidR="00C91334" w:rsidRPr="007F6419" w:rsidRDefault="00554E53">
                    <w:pPr>
                      <w:pStyle w:val="Afzendgegevens"/>
                      <w:rPr>
                        <w:lang w:val="de-DE"/>
                      </w:rPr>
                    </w:pPr>
                    <w:r w:rsidRPr="007F6419">
                      <w:rPr>
                        <w:lang w:val="de-DE"/>
                      </w:rPr>
                      <w:t>www.facebook.com/minbzk</w:t>
                    </w:r>
                  </w:p>
                  <w:p w14:paraId="63AF37C4" w14:textId="77777777" w:rsidR="00C91334" w:rsidRPr="007F6419" w:rsidRDefault="00554E53">
                    <w:pPr>
                      <w:pStyle w:val="Afzendgegevens"/>
                      <w:rPr>
                        <w:lang w:val="de-DE"/>
                      </w:rPr>
                    </w:pPr>
                    <w:r w:rsidRPr="007F6419">
                      <w:rPr>
                        <w:lang w:val="de-DE"/>
                      </w:rPr>
                      <w:t>www.twitter.com/minbzk</w:t>
                    </w:r>
                  </w:p>
                  <w:p w14:paraId="53FB3E75" w14:textId="77777777" w:rsidR="00C91334" w:rsidRPr="007F6419" w:rsidRDefault="00554E53">
                    <w:pPr>
                      <w:pStyle w:val="Afzendgegevens"/>
                      <w:rPr>
                        <w:lang w:val="de-DE"/>
                      </w:rPr>
                    </w:pPr>
                    <w:r w:rsidRPr="007F6419">
                      <w:rPr>
                        <w:lang w:val="de-DE"/>
                      </w:rPr>
                      <w:t>www.linkedin.com/company/ministerie-van-bzk</w:t>
                    </w:r>
                  </w:p>
                  <w:p w14:paraId="6897E9B1" w14:textId="77777777" w:rsidR="00C91334" w:rsidRPr="007F6419" w:rsidRDefault="00C91334">
                    <w:pPr>
                      <w:pStyle w:val="WitregelW1"/>
                      <w:rPr>
                        <w:lang w:val="de-DE"/>
                      </w:rPr>
                    </w:pPr>
                  </w:p>
                  <w:p w14:paraId="26ED0751" w14:textId="77777777" w:rsidR="00C91334" w:rsidRDefault="00554E53">
                    <w:pPr>
                      <w:pStyle w:val="Kopjereferentiegegevens"/>
                    </w:pPr>
                    <w:r>
                      <w:t>Kenmerk</w:t>
                    </w:r>
                  </w:p>
                  <w:p w14:paraId="6E3E63FF" w14:textId="3881C095" w:rsidR="00C91334" w:rsidRDefault="0014069D">
                    <w:pPr>
                      <w:pStyle w:val="Referentiegegevens"/>
                    </w:pPr>
                    <w:fldSimple w:instr=" DOCPROPERTY  &quot;Kenmerk&quot;  \* MERGEFORMAT ">
                      <w:r>
                        <w:t>2020-0000350528</w:t>
                      </w:r>
                    </w:fldSimple>
                  </w:p>
                  <w:p w14:paraId="6A8F28F7" w14:textId="77777777" w:rsidR="00C91334" w:rsidRDefault="00C91334">
                    <w:pPr>
                      <w:pStyle w:val="WitregelW1"/>
                    </w:pPr>
                  </w:p>
                  <w:p w14:paraId="11238B56" w14:textId="77777777" w:rsidR="00C91334" w:rsidRDefault="00554E53">
                    <w:pPr>
                      <w:pStyle w:val="Kopjereferentiegegevens"/>
                    </w:pPr>
                    <w:r>
                      <w:t>Uw kenmerk</w:t>
                    </w:r>
                  </w:p>
                  <w:p w14:paraId="1BA52289" w14:textId="192A2A8D" w:rsidR="00C91334" w:rsidRDefault="00554E53">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80C75EB" wp14:editId="1114BAD3">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60CC2DA5" w14:textId="709C50F4" w:rsidR="00C91334" w:rsidRDefault="00554E53">
                          <w:pPr>
                            <w:pStyle w:val="Referentiegegevens"/>
                          </w:pPr>
                          <w:r>
                            <w:t xml:space="preserve">Pagina </w:t>
                          </w:r>
                          <w:r>
                            <w:fldChar w:fldCharType="begin"/>
                          </w:r>
                          <w:r>
                            <w:instrText>PAGE</w:instrText>
                          </w:r>
                          <w:r>
                            <w:fldChar w:fldCharType="separate"/>
                          </w:r>
                          <w:r w:rsidR="009E7FFB">
                            <w:rPr>
                              <w:noProof/>
                            </w:rPr>
                            <w:t>1</w:t>
                          </w:r>
                          <w:r>
                            <w:fldChar w:fldCharType="end"/>
                          </w:r>
                          <w:r>
                            <w:t xml:space="preserve"> van </w:t>
                          </w:r>
                          <w:r>
                            <w:fldChar w:fldCharType="begin"/>
                          </w:r>
                          <w:r>
                            <w:instrText>NUMPAGES</w:instrText>
                          </w:r>
                          <w:r>
                            <w:fldChar w:fldCharType="separate"/>
                          </w:r>
                          <w:r w:rsidR="009E7FFB">
                            <w:rPr>
                              <w:noProof/>
                            </w:rPr>
                            <w:t>4</w:t>
                          </w:r>
                          <w:r>
                            <w:fldChar w:fldCharType="end"/>
                          </w:r>
                        </w:p>
                      </w:txbxContent>
                    </wps:txbx>
                    <wps:bodyPr vert="horz" wrap="square" lIns="0" tIns="0" rIns="0" bIns="0" anchor="t" anchorCtr="0"/>
                  </wps:wsp>
                </a:graphicData>
              </a:graphic>
            </wp:anchor>
          </w:drawing>
        </mc:Choice>
        <mc:Fallback>
          <w:pict>
            <v:shape w14:anchorId="780C75EB"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60CC2DA5" w14:textId="709C50F4" w:rsidR="00C91334" w:rsidRDefault="00554E53">
                    <w:pPr>
                      <w:pStyle w:val="Referentiegegevens"/>
                    </w:pPr>
                    <w:r>
                      <w:t xml:space="preserve">Pagina </w:t>
                    </w:r>
                    <w:r>
                      <w:fldChar w:fldCharType="begin"/>
                    </w:r>
                    <w:r>
                      <w:instrText>PAGE</w:instrText>
                    </w:r>
                    <w:r>
                      <w:fldChar w:fldCharType="separate"/>
                    </w:r>
                    <w:r w:rsidR="009E7FFB">
                      <w:rPr>
                        <w:noProof/>
                      </w:rPr>
                      <w:t>1</w:t>
                    </w:r>
                    <w:r>
                      <w:fldChar w:fldCharType="end"/>
                    </w:r>
                    <w:r>
                      <w:t xml:space="preserve"> van </w:t>
                    </w:r>
                    <w:r>
                      <w:fldChar w:fldCharType="begin"/>
                    </w:r>
                    <w:r>
                      <w:instrText>NUMPAGES</w:instrText>
                    </w:r>
                    <w:r>
                      <w:fldChar w:fldCharType="separate"/>
                    </w:r>
                    <w:r w:rsidR="009E7FFB">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634FED44" wp14:editId="0C4E47E3">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5E47EE03" w14:textId="77777777" w:rsidR="00FD56EA" w:rsidRDefault="00FD56EA"/>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634FED44"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5E47EE03" w14:textId="77777777" w:rsidR="00FD56EA" w:rsidRDefault="00FD56EA"/>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32287E72" wp14:editId="5687B0FB">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200C01A1" w14:textId="77777777" w:rsidR="00FD56EA" w:rsidRDefault="00FD56EA"/>
                      </w:txbxContent>
                    </wps:txbx>
                    <wps:bodyPr vert="horz" wrap="square" lIns="0" tIns="0" rIns="0" bIns="0" anchor="t" anchorCtr="0"/>
                  </wps:wsp>
                </a:graphicData>
              </a:graphic>
            </wp:anchor>
          </w:drawing>
        </mc:Choice>
        <mc:Fallback xmlns:w16se="http://schemas.microsoft.com/office/word/2015/wordml/symex" xmlns:cx1="http://schemas.microsoft.com/office/drawing/2015/9/8/chartex" xmlns:cx="http://schemas.microsoft.com/office/drawing/2014/chartex">
          <w:pict>
            <v:shape w14:anchorId="32287E72"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200C01A1" w14:textId="77777777" w:rsidR="00FD56EA" w:rsidRDefault="00FD56EA"/>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D14E7B"/>
    <w:multiLevelType w:val="multilevel"/>
    <w:tmpl w:val="02F963F8"/>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8C10BCB"/>
    <w:multiLevelType w:val="multilevel"/>
    <w:tmpl w:val="E59DE037"/>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5C24B41"/>
    <w:multiLevelType w:val="multilevel"/>
    <w:tmpl w:val="3A626945"/>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7DCB926"/>
    <w:multiLevelType w:val="multilevel"/>
    <w:tmpl w:val="B2E0B6EF"/>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D8D4B0D"/>
    <w:multiLevelType w:val="multilevel"/>
    <w:tmpl w:val="2799223D"/>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1AB93BA"/>
    <w:multiLevelType w:val="multilevel"/>
    <w:tmpl w:val="CAF0067C"/>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D4BC3B11"/>
    <w:multiLevelType w:val="multilevel"/>
    <w:tmpl w:val="BD1B37CE"/>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D560533A"/>
    <w:multiLevelType w:val="multilevel"/>
    <w:tmpl w:val="2C3C51AD"/>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DB4CE6D9"/>
    <w:multiLevelType w:val="multilevel"/>
    <w:tmpl w:val="9F882B17"/>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34E57BF"/>
    <w:multiLevelType w:val="multilevel"/>
    <w:tmpl w:val="061E1929"/>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AB2EC4E"/>
    <w:multiLevelType w:val="multilevel"/>
    <w:tmpl w:val="10B4604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F258AF8C"/>
    <w:multiLevelType w:val="multilevel"/>
    <w:tmpl w:val="72813090"/>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5198D42"/>
    <w:multiLevelType w:val="multilevel"/>
    <w:tmpl w:val="B74965A2"/>
    <w:name w:val="Bullets kantlijn"/>
    <w:lvl w:ilvl="0">
      <w:start w:val="1"/>
      <w:numFmt w:val="bullet"/>
      <w:pStyle w:val="Bulletkantlijn"/>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FD8A5252"/>
    <w:multiLevelType w:val="multilevel"/>
    <w:tmpl w:val="BBF3D6E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2CDBB7E"/>
    <w:multiLevelType w:val="multilevel"/>
    <w:tmpl w:val="C54C858A"/>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0CEA2E"/>
    <w:multiLevelType w:val="multilevel"/>
    <w:tmpl w:val="3A5F0B72"/>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083D45A"/>
    <w:multiLevelType w:val="multilevel"/>
    <w:tmpl w:val="279BE118"/>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361E7A"/>
    <w:multiLevelType w:val="multilevel"/>
    <w:tmpl w:val="935C5436"/>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A58083"/>
    <w:multiLevelType w:val="multilevel"/>
    <w:tmpl w:val="104F0CA3"/>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4458C0"/>
    <w:multiLevelType w:val="hybridMultilevel"/>
    <w:tmpl w:val="723A9F58"/>
    <w:lvl w:ilvl="0" w:tplc="3670B078">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B854F4"/>
    <w:multiLevelType w:val="multilevel"/>
    <w:tmpl w:val="4CA03C16"/>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AB767A"/>
    <w:multiLevelType w:val="multilevel"/>
    <w:tmpl w:val="969E29A8"/>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5781BB"/>
    <w:multiLevelType w:val="multilevel"/>
    <w:tmpl w:val="95F53D58"/>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FA2F8F"/>
    <w:multiLevelType w:val="multilevel"/>
    <w:tmpl w:val="46FFE3C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E6433B"/>
    <w:multiLevelType w:val="hybridMultilevel"/>
    <w:tmpl w:val="7248A69A"/>
    <w:lvl w:ilvl="0" w:tplc="03C2949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B9E2A4A"/>
    <w:multiLevelType w:val="multilevel"/>
    <w:tmpl w:val="2068B0A3"/>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38135"/>
    <w:multiLevelType w:val="multilevel"/>
    <w:tmpl w:val="D3C9E9DE"/>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352D3"/>
    <w:multiLevelType w:val="multilevel"/>
    <w:tmpl w:val="E220FDC3"/>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5AE30E"/>
    <w:multiLevelType w:val="multilevel"/>
    <w:tmpl w:val="C1350344"/>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582202"/>
    <w:multiLevelType w:val="multilevel"/>
    <w:tmpl w:val="D003C67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5EB655"/>
    <w:multiLevelType w:val="multilevel"/>
    <w:tmpl w:val="D888D979"/>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6"/>
  </w:num>
  <w:num w:numId="4">
    <w:abstractNumId w:val="18"/>
  </w:num>
  <w:num w:numId="5">
    <w:abstractNumId w:val="25"/>
  </w:num>
  <w:num w:numId="6">
    <w:abstractNumId w:val="12"/>
  </w:num>
  <w:num w:numId="7">
    <w:abstractNumId w:val="9"/>
  </w:num>
  <w:num w:numId="8">
    <w:abstractNumId w:val="27"/>
  </w:num>
  <w:num w:numId="9">
    <w:abstractNumId w:val="26"/>
  </w:num>
  <w:num w:numId="10">
    <w:abstractNumId w:val="13"/>
  </w:num>
  <w:num w:numId="11">
    <w:abstractNumId w:val="21"/>
  </w:num>
  <w:num w:numId="12">
    <w:abstractNumId w:val="7"/>
  </w:num>
  <w:num w:numId="13">
    <w:abstractNumId w:val="11"/>
  </w:num>
  <w:num w:numId="14">
    <w:abstractNumId w:val="5"/>
  </w:num>
  <w:num w:numId="15">
    <w:abstractNumId w:val="10"/>
  </w:num>
  <w:num w:numId="16">
    <w:abstractNumId w:val="29"/>
  </w:num>
  <w:num w:numId="17">
    <w:abstractNumId w:val="30"/>
  </w:num>
  <w:num w:numId="18">
    <w:abstractNumId w:val="17"/>
  </w:num>
  <w:num w:numId="19">
    <w:abstractNumId w:val="20"/>
  </w:num>
  <w:num w:numId="20">
    <w:abstractNumId w:val="14"/>
  </w:num>
  <w:num w:numId="21">
    <w:abstractNumId w:val="23"/>
  </w:num>
  <w:num w:numId="22">
    <w:abstractNumId w:val="15"/>
  </w:num>
  <w:num w:numId="23">
    <w:abstractNumId w:val="0"/>
  </w:num>
  <w:num w:numId="24">
    <w:abstractNumId w:val="4"/>
  </w:num>
  <w:num w:numId="25">
    <w:abstractNumId w:val="28"/>
  </w:num>
  <w:num w:numId="26">
    <w:abstractNumId w:val="2"/>
  </w:num>
  <w:num w:numId="27">
    <w:abstractNumId w:val="16"/>
  </w:num>
  <w:num w:numId="28">
    <w:abstractNumId w:val="3"/>
  </w:num>
  <w:num w:numId="29">
    <w:abstractNumId w:val="8"/>
  </w:num>
  <w:num w:numId="30">
    <w:abstractNumId w:val="1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34"/>
    <w:rsid w:val="000033E8"/>
    <w:rsid w:val="000104CD"/>
    <w:rsid w:val="00053424"/>
    <w:rsid w:val="00085F08"/>
    <w:rsid w:val="00090D44"/>
    <w:rsid w:val="0009430B"/>
    <w:rsid w:val="000972B8"/>
    <w:rsid w:val="000D2C06"/>
    <w:rsid w:val="000F3862"/>
    <w:rsid w:val="0010045C"/>
    <w:rsid w:val="001026D9"/>
    <w:rsid w:val="00104C15"/>
    <w:rsid w:val="0011472C"/>
    <w:rsid w:val="00116BA6"/>
    <w:rsid w:val="001215CA"/>
    <w:rsid w:val="0014069D"/>
    <w:rsid w:val="001409DC"/>
    <w:rsid w:val="00167016"/>
    <w:rsid w:val="00175C1B"/>
    <w:rsid w:val="00184FAE"/>
    <w:rsid w:val="00193C90"/>
    <w:rsid w:val="001A6287"/>
    <w:rsid w:val="001A7520"/>
    <w:rsid w:val="001C29B0"/>
    <w:rsid w:val="001F7F9D"/>
    <w:rsid w:val="00235B80"/>
    <w:rsid w:val="002415E8"/>
    <w:rsid w:val="00245DBA"/>
    <w:rsid w:val="002470C9"/>
    <w:rsid w:val="00253260"/>
    <w:rsid w:val="002701D5"/>
    <w:rsid w:val="00287E12"/>
    <w:rsid w:val="002E2667"/>
    <w:rsid w:val="002E455F"/>
    <w:rsid w:val="002E65B2"/>
    <w:rsid w:val="002E76FE"/>
    <w:rsid w:val="00314FE1"/>
    <w:rsid w:val="00347062"/>
    <w:rsid w:val="00347940"/>
    <w:rsid w:val="00353A8E"/>
    <w:rsid w:val="003766FB"/>
    <w:rsid w:val="00391332"/>
    <w:rsid w:val="003959D0"/>
    <w:rsid w:val="003974F7"/>
    <w:rsid w:val="003A22FC"/>
    <w:rsid w:val="003A77FE"/>
    <w:rsid w:val="003B03DF"/>
    <w:rsid w:val="003B5218"/>
    <w:rsid w:val="003C53D5"/>
    <w:rsid w:val="003E3B20"/>
    <w:rsid w:val="003E714E"/>
    <w:rsid w:val="00402910"/>
    <w:rsid w:val="004147CC"/>
    <w:rsid w:val="00415270"/>
    <w:rsid w:val="00450193"/>
    <w:rsid w:val="00473785"/>
    <w:rsid w:val="00494C2F"/>
    <w:rsid w:val="0049740F"/>
    <w:rsid w:val="004A623B"/>
    <w:rsid w:val="004A6980"/>
    <w:rsid w:val="004A7013"/>
    <w:rsid w:val="004D0454"/>
    <w:rsid w:val="004D6E5A"/>
    <w:rsid w:val="005238A3"/>
    <w:rsid w:val="0053244A"/>
    <w:rsid w:val="00550818"/>
    <w:rsid w:val="00554E53"/>
    <w:rsid w:val="005764D6"/>
    <w:rsid w:val="005764DD"/>
    <w:rsid w:val="00595598"/>
    <w:rsid w:val="00595851"/>
    <w:rsid w:val="005F636F"/>
    <w:rsid w:val="006143F2"/>
    <w:rsid w:val="00634F80"/>
    <w:rsid w:val="00686E4F"/>
    <w:rsid w:val="006D1619"/>
    <w:rsid w:val="006D7D49"/>
    <w:rsid w:val="007022D3"/>
    <w:rsid w:val="00705922"/>
    <w:rsid w:val="00721EBD"/>
    <w:rsid w:val="00726AB2"/>
    <w:rsid w:val="0073617C"/>
    <w:rsid w:val="00742E17"/>
    <w:rsid w:val="007502D3"/>
    <w:rsid w:val="0075400B"/>
    <w:rsid w:val="007708DD"/>
    <w:rsid w:val="007759DD"/>
    <w:rsid w:val="007C1FFD"/>
    <w:rsid w:val="007C3888"/>
    <w:rsid w:val="007D24EB"/>
    <w:rsid w:val="007D25A5"/>
    <w:rsid w:val="007F250C"/>
    <w:rsid w:val="007F5F9D"/>
    <w:rsid w:val="007F6255"/>
    <w:rsid w:val="007F6419"/>
    <w:rsid w:val="00805199"/>
    <w:rsid w:val="00812703"/>
    <w:rsid w:val="00820DC5"/>
    <w:rsid w:val="00823EFA"/>
    <w:rsid w:val="008308BE"/>
    <w:rsid w:val="00830E97"/>
    <w:rsid w:val="0083720E"/>
    <w:rsid w:val="00837E09"/>
    <w:rsid w:val="00840E0B"/>
    <w:rsid w:val="008456C5"/>
    <w:rsid w:val="008521C6"/>
    <w:rsid w:val="00863D6A"/>
    <w:rsid w:val="008901D4"/>
    <w:rsid w:val="008A2613"/>
    <w:rsid w:val="008A78F4"/>
    <w:rsid w:val="008B07D6"/>
    <w:rsid w:val="008B2F9A"/>
    <w:rsid w:val="008C6753"/>
    <w:rsid w:val="008F79BE"/>
    <w:rsid w:val="0090260B"/>
    <w:rsid w:val="00912486"/>
    <w:rsid w:val="00932B09"/>
    <w:rsid w:val="0093682B"/>
    <w:rsid w:val="00975833"/>
    <w:rsid w:val="009A71F3"/>
    <w:rsid w:val="009C13F2"/>
    <w:rsid w:val="009E3D11"/>
    <w:rsid w:val="009E7FFB"/>
    <w:rsid w:val="009F14A8"/>
    <w:rsid w:val="009F17BD"/>
    <w:rsid w:val="009F3908"/>
    <w:rsid w:val="00A01CFF"/>
    <w:rsid w:val="00A2741D"/>
    <w:rsid w:val="00A425E6"/>
    <w:rsid w:val="00A5136D"/>
    <w:rsid w:val="00A63BE2"/>
    <w:rsid w:val="00A640E9"/>
    <w:rsid w:val="00A66D17"/>
    <w:rsid w:val="00A84BE1"/>
    <w:rsid w:val="00AF0C63"/>
    <w:rsid w:val="00B0338B"/>
    <w:rsid w:val="00B17501"/>
    <w:rsid w:val="00B370FE"/>
    <w:rsid w:val="00B6153E"/>
    <w:rsid w:val="00B61F5F"/>
    <w:rsid w:val="00B678AF"/>
    <w:rsid w:val="00B72D5F"/>
    <w:rsid w:val="00B75849"/>
    <w:rsid w:val="00B801FC"/>
    <w:rsid w:val="00BA3AD5"/>
    <w:rsid w:val="00C126AC"/>
    <w:rsid w:val="00C335B4"/>
    <w:rsid w:val="00C54CFE"/>
    <w:rsid w:val="00C57DEE"/>
    <w:rsid w:val="00C63648"/>
    <w:rsid w:val="00C64AF0"/>
    <w:rsid w:val="00C65B4F"/>
    <w:rsid w:val="00C65C08"/>
    <w:rsid w:val="00C7314A"/>
    <w:rsid w:val="00C86B4E"/>
    <w:rsid w:val="00C91334"/>
    <w:rsid w:val="00CA1574"/>
    <w:rsid w:val="00CC686C"/>
    <w:rsid w:val="00CE216E"/>
    <w:rsid w:val="00CE3AF0"/>
    <w:rsid w:val="00CE5E7A"/>
    <w:rsid w:val="00D04E8A"/>
    <w:rsid w:val="00D328C2"/>
    <w:rsid w:val="00D57D23"/>
    <w:rsid w:val="00D87219"/>
    <w:rsid w:val="00DA03D0"/>
    <w:rsid w:val="00DA7FE7"/>
    <w:rsid w:val="00DB3CEC"/>
    <w:rsid w:val="00DD6CDE"/>
    <w:rsid w:val="00DE141F"/>
    <w:rsid w:val="00DE24A8"/>
    <w:rsid w:val="00E16498"/>
    <w:rsid w:val="00E3472F"/>
    <w:rsid w:val="00E94C6C"/>
    <w:rsid w:val="00EB3A28"/>
    <w:rsid w:val="00EB6335"/>
    <w:rsid w:val="00EC1218"/>
    <w:rsid w:val="00ED687C"/>
    <w:rsid w:val="00EE69E2"/>
    <w:rsid w:val="00F12969"/>
    <w:rsid w:val="00F140B4"/>
    <w:rsid w:val="00F173EC"/>
    <w:rsid w:val="00F2529E"/>
    <w:rsid w:val="00F31DF7"/>
    <w:rsid w:val="00F32212"/>
    <w:rsid w:val="00F33DC6"/>
    <w:rsid w:val="00F56504"/>
    <w:rsid w:val="00F66C49"/>
    <w:rsid w:val="00F77DFB"/>
    <w:rsid w:val="00FA1F0E"/>
    <w:rsid w:val="00FA47C7"/>
    <w:rsid w:val="00FD56EA"/>
    <w:rsid w:val="00FF7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73062C"/>
  <w15:docId w15:val="{03CB7DF5-795C-4575-9CAD-C123FE06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Bulletkantlijn">
    <w:name w:val="Bullet kantlijn"/>
    <w:basedOn w:val="Standaard"/>
    <w:next w:val="Standaard"/>
    <w:pPr>
      <w:numPr>
        <w:numId w:val="6"/>
      </w:numPr>
    </w:pPr>
  </w:style>
  <w:style w:type="paragraph" w:customStyle="1" w:styleId="Bulletskantlijn">
    <w:name w:val="Bullets kantlijn"/>
    <w:basedOn w:val="Standaard"/>
    <w:next w:val="Standaard"/>
    <w:pPr>
      <w:spacing w:line="24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mmunicatietabel">
    <w:name w:val="Communicatie tabel"/>
    <w:basedOn w:val="Standaard"/>
    <w:next w:val="Standaard"/>
    <w:pPr>
      <w:spacing w:before="60" w:after="60" w:line="240" w:lineRule="exact"/>
      <w:ind w:left="40"/>
    </w:pPr>
  </w:style>
  <w:style w:type="paragraph" w:customStyle="1" w:styleId="ConvenantArtikel">
    <w:name w:val="Convenant Artikel"/>
    <w:basedOn w:val="Standaard"/>
    <w:next w:val="Standaard"/>
    <w:pPr>
      <w:numPr>
        <w:numId w:val="9"/>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9"/>
      </w:numPr>
      <w:spacing w:line="240" w:lineRule="exact"/>
    </w:pPr>
    <w:rPr>
      <w:sz w:val="20"/>
      <w:szCs w:val="20"/>
    </w:rPr>
  </w:style>
  <w:style w:type="paragraph" w:customStyle="1" w:styleId="Convenantlidletterstijlinspring">
    <w:name w:val="Convenant lid (letterstijl inspring)"/>
    <w:basedOn w:val="Standaard"/>
    <w:next w:val="Standaard"/>
    <w:pPr>
      <w:numPr>
        <w:numId w:val="8"/>
      </w:numPr>
      <w:spacing w:line="240" w:lineRule="exact"/>
    </w:pPr>
    <w:rPr>
      <w:sz w:val="20"/>
      <w:szCs w:val="20"/>
    </w:rPr>
  </w:style>
  <w:style w:type="paragraph" w:customStyle="1" w:styleId="ConvenantLidletterstijl">
    <w:name w:val="Convenant Lid (letterstijl)"/>
    <w:basedOn w:val="Standaard"/>
    <w:next w:val="Standaard"/>
    <w:pPr>
      <w:numPr>
        <w:numId w:val="7"/>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6"/>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4"/>
      </w:numPr>
      <w:spacing w:line="240" w:lineRule="exact"/>
    </w:pPr>
  </w:style>
  <w:style w:type="paragraph" w:customStyle="1" w:styleId="LedenArt1niv2">
    <w:name w:val="Leden_Art_1_niv2"/>
    <w:basedOn w:val="Standaard"/>
    <w:next w:val="Standaard"/>
    <w:pPr>
      <w:numPr>
        <w:ilvl w:val="1"/>
        <w:numId w:val="24"/>
      </w:numPr>
      <w:spacing w:line="240" w:lineRule="exact"/>
    </w:pPr>
  </w:style>
  <w:style w:type="paragraph" w:customStyle="1" w:styleId="LedenArt10">
    <w:name w:val="Leden_Art_10"/>
    <w:basedOn w:val="Standaard"/>
    <w:next w:val="Standaard"/>
    <w:pPr>
      <w:numPr>
        <w:numId w:val="25"/>
      </w:numPr>
      <w:spacing w:line="240" w:lineRule="exact"/>
    </w:pPr>
  </w:style>
  <w:style w:type="paragraph" w:customStyle="1" w:styleId="LedenArt10niv2">
    <w:name w:val="Leden_Art_10_niv2"/>
    <w:basedOn w:val="Standaard"/>
    <w:next w:val="Standaard"/>
    <w:pPr>
      <w:numPr>
        <w:ilvl w:val="1"/>
        <w:numId w:val="25"/>
      </w:numPr>
      <w:spacing w:line="240" w:lineRule="exact"/>
    </w:pPr>
  </w:style>
  <w:style w:type="paragraph" w:customStyle="1" w:styleId="LedenArt11">
    <w:name w:val="Leden_Art_11"/>
    <w:basedOn w:val="Standaard"/>
    <w:next w:val="Standaard"/>
    <w:pPr>
      <w:numPr>
        <w:numId w:val="26"/>
      </w:numPr>
      <w:spacing w:line="240" w:lineRule="exact"/>
    </w:pPr>
  </w:style>
  <w:style w:type="paragraph" w:customStyle="1" w:styleId="LedenArt3">
    <w:name w:val="Leden_Art_3"/>
    <w:basedOn w:val="Standaard"/>
    <w:next w:val="Standaard"/>
    <w:pPr>
      <w:numPr>
        <w:numId w:val="27"/>
      </w:numPr>
      <w:spacing w:line="240" w:lineRule="exact"/>
    </w:pPr>
  </w:style>
  <w:style w:type="paragraph" w:customStyle="1" w:styleId="LedenArt6">
    <w:name w:val="Leden_Art_6"/>
    <w:basedOn w:val="Standaard"/>
    <w:next w:val="Standaard"/>
    <w:pPr>
      <w:numPr>
        <w:numId w:val="28"/>
      </w:numPr>
      <w:spacing w:line="240" w:lineRule="exact"/>
    </w:pPr>
  </w:style>
  <w:style w:type="paragraph" w:customStyle="1" w:styleId="LedenArt6niv2">
    <w:name w:val="Leden_Art_6_niv2"/>
    <w:basedOn w:val="Standaard"/>
    <w:next w:val="Standaard"/>
    <w:pPr>
      <w:numPr>
        <w:ilvl w:val="1"/>
        <w:numId w:val="28"/>
      </w:numPr>
      <w:spacing w:line="240" w:lineRule="exact"/>
    </w:pPr>
  </w:style>
  <w:style w:type="paragraph" w:customStyle="1" w:styleId="LedenArt7">
    <w:name w:val="Leden_Art_7"/>
    <w:basedOn w:val="Standaard"/>
    <w:next w:val="Standaard"/>
    <w:pPr>
      <w:numPr>
        <w:numId w:val="29"/>
      </w:numPr>
      <w:spacing w:line="240" w:lineRule="exact"/>
    </w:pPr>
  </w:style>
  <w:style w:type="paragraph" w:customStyle="1" w:styleId="LedenArt7niv2">
    <w:name w:val="Leden_Art_7_niv2"/>
    <w:basedOn w:val="Standaard"/>
    <w:next w:val="Standaard"/>
    <w:pPr>
      <w:numPr>
        <w:ilvl w:val="1"/>
        <w:numId w:val="29"/>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1"/>
      </w:numPr>
      <w:spacing w:line="240" w:lineRule="exact"/>
    </w:pPr>
  </w:style>
  <w:style w:type="paragraph" w:customStyle="1" w:styleId="LogiusMTNotitiebullet">
    <w:name w:val="Logius MT Notitie bullet"/>
    <w:basedOn w:val="Standaard"/>
    <w:next w:val="Standaard"/>
    <w:pPr>
      <w:numPr>
        <w:numId w:val="12"/>
      </w:numPr>
      <w:spacing w:line="240" w:lineRule="exact"/>
    </w:pPr>
  </w:style>
  <w:style w:type="paragraph" w:customStyle="1" w:styleId="LogiusMTNotitieopsomming">
    <w:name w:val="Logius MT Notitie opsomming"/>
    <w:basedOn w:val="Standaard"/>
    <w:next w:val="Standaard"/>
    <w:pPr>
      <w:numPr>
        <w:numId w:val="13"/>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2"/>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4"/>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5"/>
      </w:numPr>
      <w:spacing w:line="240" w:lineRule="exact"/>
    </w:pPr>
  </w:style>
  <w:style w:type="paragraph" w:customStyle="1" w:styleId="LogiusOpsomming1aniv2">
    <w:name w:val="Logius Opsomming 1a niv2"/>
    <w:basedOn w:val="Standaard"/>
    <w:next w:val="Standaard"/>
    <w:pPr>
      <w:numPr>
        <w:ilvl w:val="1"/>
        <w:numId w:val="15"/>
      </w:numPr>
      <w:spacing w:line="240" w:lineRule="exact"/>
    </w:pPr>
  </w:style>
  <w:style w:type="paragraph" w:customStyle="1" w:styleId="LogiusOpsommingHoofdletters">
    <w:name w:val="Logius Opsomming Hoofdletters"/>
    <w:basedOn w:val="Standaard"/>
    <w:next w:val="Standaard"/>
    <w:pPr>
      <w:numPr>
        <w:numId w:val="17"/>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10"/>
      </w:numPr>
      <w:spacing w:line="240" w:lineRule="exact"/>
    </w:pPr>
  </w:style>
  <w:style w:type="paragraph" w:customStyle="1" w:styleId="Logiustekstmetopsommingniveau2">
    <w:name w:val="Logius tekst met opsomming niveau 2"/>
    <w:basedOn w:val="Standaard"/>
    <w:next w:val="Standaard"/>
    <w:pPr>
      <w:numPr>
        <w:ilvl w:val="1"/>
        <w:numId w:val="10"/>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6"/>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rPr>
      <w:b/>
    </w:rPr>
  </w:style>
  <w:style w:type="paragraph" w:customStyle="1" w:styleId="RapportNiveau1">
    <w:name w:val="Rapport_Niveau_1"/>
    <w:basedOn w:val="Standaard"/>
    <w:next w:val="Standaard"/>
    <w:pPr>
      <w:numPr>
        <w:numId w:val="18"/>
      </w:numPr>
      <w:spacing w:after="700" w:line="300" w:lineRule="exact"/>
    </w:pPr>
    <w:rPr>
      <w:sz w:val="24"/>
      <w:szCs w:val="24"/>
    </w:rPr>
  </w:style>
  <w:style w:type="paragraph" w:customStyle="1" w:styleId="RapportNiveau2">
    <w:name w:val="Rapport_Niveau_2"/>
    <w:basedOn w:val="Standaard"/>
    <w:next w:val="Standaard"/>
    <w:pPr>
      <w:numPr>
        <w:ilvl w:val="1"/>
        <w:numId w:val="18"/>
      </w:numPr>
      <w:spacing w:line="240" w:lineRule="exact"/>
    </w:pPr>
    <w:rPr>
      <w:b/>
    </w:rPr>
  </w:style>
  <w:style w:type="paragraph" w:customStyle="1" w:styleId="RapportNiveau3">
    <w:name w:val="Rapport_Niveau_3"/>
    <w:basedOn w:val="Standaard"/>
    <w:next w:val="Standaard"/>
    <w:pPr>
      <w:numPr>
        <w:ilvl w:val="2"/>
        <w:numId w:val="18"/>
      </w:numPr>
      <w:spacing w:line="240" w:lineRule="exact"/>
    </w:pPr>
    <w:rPr>
      <w:i/>
    </w:rPr>
  </w:style>
  <w:style w:type="paragraph" w:customStyle="1" w:styleId="RapportNiveau4">
    <w:name w:val="Rapport_Niveau_4"/>
    <w:basedOn w:val="Standaard"/>
    <w:next w:val="Standaard"/>
    <w:pPr>
      <w:numPr>
        <w:ilvl w:val="3"/>
        <w:numId w:val="18"/>
      </w:numPr>
      <w:spacing w:line="240" w:lineRule="exact"/>
    </w:pPr>
  </w:style>
  <w:style w:type="paragraph" w:customStyle="1" w:styleId="RapportNiveau5">
    <w:name w:val="Rapport_Niveau_5"/>
    <w:basedOn w:val="Standaard"/>
    <w:next w:val="Standaard"/>
    <w:pPr>
      <w:numPr>
        <w:ilvl w:val="4"/>
        <w:numId w:val="18"/>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9"/>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20"/>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1"/>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1"/>
      </w:numPr>
      <w:spacing w:before="180" w:line="300" w:lineRule="exact"/>
    </w:pPr>
  </w:style>
  <w:style w:type="paragraph" w:customStyle="1" w:styleId="Robrfvniv1b11">
    <w:name w:val="Robrfvniv1_b11"/>
    <w:basedOn w:val="Standaard"/>
    <w:next w:val="Standaard"/>
    <w:pPr>
      <w:numPr>
        <w:numId w:val="21"/>
      </w:numPr>
      <w:spacing w:before="360" w:line="300" w:lineRule="exact"/>
    </w:pPr>
    <w:rPr>
      <w:b/>
      <w:sz w:val="22"/>
      <w:szCs w:val="22"/>
    </w:rPr>
  </w:style>
  <w:style w:type="paragraph" w:customStyle="1" w:styleId="Robrfvniv2">
    <w:name w:val="Robrfvniv2"/>
    <w:basedOn w:val="Standaard"/>
    <w:next w:val="Standaard"/>
    <w:pPr>
      <w:numPr>
        <w:ilvl w:val="1"/>
        <w:numId w:val="21"/>
      </w:numPr>
      <w:spacing w:before="180" w:line="300" w:lineRule="exact"/>
    </w:pPr>
    <w:rPr>
      <w:b/>
    </w:rPr>
  </w:style>
  <w:style w:type="paragraph" w:customStyle="1" w:styleId="Robrfvniv3standaard">
    <w:name w:val="Robrfvniv3_standaard"/>
    <w:basedOn w:val="Standaard"/>
    <w:next w:val="Standaard"/>
    <w:pPr>
      <w:numPr>
        <w:ilvl w:val="3"/>
        <w:numId w:val="21"/>
      </w:numPr>
      <w:spacing w:line="240" w:lineRule="exact"/>
    </w:pPr>
  </w:style>
  <w:style w:type="paragraph" w:customStyle="1" w:styleId="Robrfvniv5">
    <w:name w:val="Robrfvniv5"/>
    <w:basedOn w:val="Standaard"/>
    <w:next w:val="Standaard"/>
    <w:pPr>
      <w:numPr>
        <w:ilvl w:val="4"/>
        <w:numId w:val="21"/>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2"/>
      </w:numPr>
      <w:spacing w:after="240" w:line="240" w:lineRule="exact"/>
    </w:pPr>
  </w:style>
  <w:style w:type="paragraph" w:customStyle="1" w:styleId="RVIGTekstbesluitmetletters">
    <w:name w:val="RVIG Tekst besluit met letters"/>
    <w:basedOn w:val="Standaard"/>
    <w:next w:val="Standaard"/>
    <w:pPr>
      <w:numPr>
        <w:numId w:val="23"/>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6"/>
      </w:numPr>
      <w:spacing w:line="240" w:lineRule="exact"/>
    </w:pPr>
    <w:rPr>
      <w:i/>
    </w:rPr>
  </w:style>
  <w:style w:type="paragraph" w:customStyle="1" w:styleId="Subparagraaf2">
    <w:name w:val="Subparagraaf 2"/>
    <w:basedOn w:val="Standaard"/>
    <w:next w:val="Standaard"/>
    <w:pPr>
      <w:numPr>
        <w:ilvl w:val="3"/>
        <w:numId w:val="16"/>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F140B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140B4"/>
    <w:rPr>
      <w:rFonts w:ascii="Verdana" w:hAnsi="Verdana"/>
      <w:color w:val="000000"/>
      <w:sz w:val="18"/>
      <w:szCs w:val="18"/>
    </w:rPr>
  </w:style>
  <w:style w:type="paragraph" w:styleId="Voettekst">
    <w:name w:val="footer"/>
    <w:basedOn w:val="Standaard"/>
    <w:link w:val="VoettekstChar"/>
    <w:uiPriority w:val="99"/>
    <w:unhideWhenUsed/>
    <w:rsid w:val="00F140B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140B4"/>
    <w:rPr>
      <w:rFonts w:ascii="Verdana" w:hAnsi="Verdana"/>
      <w:color w:val="000000"/>
      <w:sz w:val="18"/>
      <w:szCs w:val="18"/>
    </w:rPr>
  </w:style>
  <w:style w:type="paragraph" w:styleId="Voetnoottekst">
    <w:name w:val="footnote text"/>
    <w:aliases w:val="VoetnoottekstZMC,Tekst przypisu,Fußnotentext Char1,Fußnotentext Char Char,Fußnotentext Char1 Char Char,Fußnotentext Char Char Char Char,Fußnotentext Char1 Char Char Char Char,Fußnotentext Char Char Char Char Char Char,fn,footnote text"/>
    <w:basedOn w:val="Standaard"/>
    <w:link w:val="VoetnoottekstChar"/>
    <w:uiPriority w:val="99"/>
    <w:semiHidden/>
    <w:unhideWhenUsed/>
    <w:rsid w:val="00975833"/>
    <w:pPr>
      <w:tabs>
        <w:tab w:val="left" w:pos="227"/>
      </w:tabs>
      <w:autoSpaceDN/>
      <w:spacing w:line="240" w:lineRule="auto"/>
      <w:ind w:left="227" w:hanging="227"/>
      <w:textAlignment w:val="auto"/>
    </w:pPr>
    <w:rPr>
      <w:rFonts w:ascii="Univers" w:eastAsia="Times New Roman" w:hAnsi="Univers" w:cs="Times New Roman"/>
      <w:color w:val="auto"/>
      <w:szCs w:val="20"/>
    </w:rPr>
  </w:style>
  <w:style w:type="character" w:customStyle="1" w:styleId="VoetnoottekstChar">
    <w:name w:val="Voetnoottekst Char"/>
    <w:aliases w:val="VoetnoottekstZMC Char,Tekst przypisu Char,Fußnotentext Char1 Char,Fußnotentext Char Char Char,Fußnotentext Char1 Char Char Char,Fußnotentext Char Char Char Char Char,Fußnotentext Char1 Char Char Char Char Char,fn Char"/>
    <w:basedOn w:val="Standaardalinea-lettertype"/>
    <w:link w:val="Voetnoottekst"/>
    <w:uiPriority w:val="99"/>
    <w:semiHidden/>
    <w:rsid w:val="00975833"/>
    <w:rPr>
      <w:rFonts w:ascii="Univers" w:eastAsia="Times New Roman" w:hAnsi="Univers" w:cs="Times New Roman"/>
      <w:sz w:val="18"/>
    </w:rPr>
  </w:style>
  <w:style w:type="character" w:styleId="Voetnootmarkering">
    <w:name w:val="footnote reference"/>
    <w:basedOn w:val="Standaardalinea-lettertype"/>
    <w:uiPriority w:val="99"/>
    <w:semiHidden/>
    <w:unhideWhenUsed/>
    <w:rsid w:val="00975833"/>
    <w:rPr>
      <w:vertAlign w:val="superscript"/>
    </w:rPr>
  </w:style>
  <w:style w:type="character" w:styleId="Verwijzingopmerking">
    <w:name w:val="annotation reference"/>
    <w:basedOn w:val="Standaardalinea-lettertype"/>
    <w:uiPriority w:val="99"/>
    <w:semiHidden/>
    <w:unhideWhenUsed/>
    <w:rsid w:val="0073617C"/>
    <w:rPr>
      <w:sz w:val="16"/>
      <w:szCs w:val="16"/>
    </w:rPr>
  </w:style>
  <w:style w:type="paragraph" w:styleId="Tekstopmerking">
    <w:name w:val="annotation text"/>
    <w:basedOn w:val="Standaard"/>
    <w:link w:val="TekstopmerkingChar"/>
    <w:uiPriority w:val="99"/>
    <w:semiHidden/>
    <w:unhideWhenUsed/>
    <w:rsid w:val="007361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617C"/>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73617C"/>
    <w:rPr>
      <w:b/>
      <w:bCs/>
    </w:rPr>
  </w:style>
  <w:style w:type="character" w:customStyle="1" w:styleId="OnderwerpvanopmerkingChar">
    <w:name w:val="Onderwerp van opmerking Char"/>
    <w:basedOn w:val="TekstopmerkingChar"/>
    <w:link w:val="Onderwerpvanopmerking"/>
    <w:uiPriority w:val="99"/>
    <w:semiHidden/>
    <w:rsid w:val="0073617C"/>
    <w:rPr>
      <w:rFonts w:ascii="Verdana" w:hAnsi="Verdana"/>
      <w:b/>
      <w:bCs/>
      <w:color w:val="000000"/>
    </w:rPr>
  </w:style>
  <w:style w:type="paragraph" w:styleId="Ballontekst">
    <w:name w:val="Balloon Text"/>
    <w:basedOn w:val="Standaard"/>
    <w:link w:val="BallontekstChar"/>
    <w:uiPriority w:val="99"/>
    <w:semiHidden/>
    <w:unhideWhenUsed/>
    <w:rsid w:val="0073617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73617C"/>
    <w:rPr>
      <w:rFonts w:ascii="Segoe UI" w:hAnsi="Segoe UI" w:cs="Segoe UI"/>
      <w:color w:val="000000"/>
      <w:sz w:val="18"/>
      <w:szCs w:val="18"/>
    </w:rPr>
  </w:style>
  <w:style w:type="paragraph" w:customStyle="1" w:styleId="Default">
    <w:name w:val="Default"/>
    <w:basedOn w:val="Standaard"/>
    <w:rsid w:val="00DB3CEC"/>
    <w:pPr>
      <w:autoSpaceDE w:val="0"/>
      <w:spacing w:line="240" w:lineRule="auto"/>
      <w:textAlignment w:val="auto"/>
    </w:pPr>
    <w:rPr>
      <w:rFonts w:eastAsiaTheme="minorHAnsi" w:cs="Times New Roman"/>
      <w:sz w:val="24"/>
      <w:szCs w:val="24"/>
      <w:lang w:eastAsia="en-US"/>
    </w:rPr>
  </w:style>
  <w:style w:type="paragraph" w:styleId="Lijstalinea">
    <w:name w:val="List Paragraph"/>
    <w:basedOn w:val="Standaard"/>
    <w:uiPriority w:val="34"/>
    <w:qFormat/>
    <w:rsid w:val="00B7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67845">
      <w:bodyDiv w:val="1"/>
      <w:marLeft w:val="0"/>
      <w:marRight w:val="0"/>
      <w:marTop w:val="0"/>
      <w:marBottom w:val="0"/>
      <w:divBdr>
        <w:top w:val="none" w:sz="0" w:space="0" w:color="auto"/>
        <w:left w:val="none" w:sz="0" w:space="0" w:color="auto"/>
        <w:bottom w:val="none" w:sz="0" w:space="0" w:color="auto"/>
        <w:right w:val="none" w:sz="0" w:space="0" w:color="auto"/>
      </w:divBdr>
    </w:div>
    <w:div w:id="370150476">
      <w:bodyDiv w:val="1"/>
      <w:marLeft w:val="0"/>
      <w:marRight w:val="0"/>
      <w:marTop w:val="0"/>
      <w:marBottom w:val="0"/>
      <w:divBdr>
        <w:top w:val="none" w:sz="0" w:space="0" w:color="auto"/>
        <w:left w:val="none" w:sz="0" w:space="0" w:color="auto"/>
        <w:bottom w:val="none" w:sz="0" w:space="0" w:color="auto"/>
        <w:right w:val="none" w:sz="0" w:space="0" w:color="auto"/>
      </w:divBdr>
    </w:div>
    <w:div w:id="386687869">
      <w:bodyDiv w:val="1"/>
      <w:marLeft w:val="0"/>
      <w:marRight w:val="0"/>
      <w:marTop w:val="0"/>
      <w:marBottom w:val="0"/>
      <w:divBdr>
        <w:top w:val="none" w:sz="0" w:space="0" w:color="auto"/>
        <w:left w:val="none" w:sz="0" w:space="0" w:color="auto"/>
        <w:bottom w:val="none" w:sz="0" w:space="0" w:color="auto"/>
        <w:right w:val="none" w:sz="0" w:space="0" w:color="auto"/>
      </w:divBdr>
    </w:div>
    <w:div w:id="389689871">
      <w:bodyDiv w:val="1"/>
      <w:marLeft w:val="0"/>
      <w:marRight w:val="0"/>
      <w:marTop w:val="0"/>
      <w:marBottom w:val="0"/>
      <w:divBdr>
        <w:top w:val="none" w:sz="0" w:space="0" w:color="auto"/>
        <w:left w:val="none" w:sz="0" w:space="0" w:color="auto"/>
        <w:bottom w:val="none" w:sz="0" w:space="0" w:color="auto"/>
        <w:right w:val="none" w:sz="0" w:space="0" w:color="auto"/>
      </w:divBdr>
    </w:div>
    <w:div w:id="587468552">
      <w:bodyDiv w:val="1"/>
      <w:marLeft w:val="0"/>
      <w:marRight w:val="0"/>
      <w:marTop w:val="0"/>
      <w:marBottom w:val="0"/>
      <w:divBdr>
        <w:top w:val="none" w:sz="0" w:space="0" w:color="auto"/>
        <w:left w:val="none" w:sz="0" w:space="0" w:color="auto"/>
        <w:bottom w:val="none" w:sz="0" w:space="0" w:color="auto"/>
        <w:right w:val="none" w:sz="0" w:space="0" w:color="auto"/>
      </w:divBdr>
    </w:div>
    <w:div w:id="690572684">
      <w:bodyDiv w:val="1"/>
      <w:marLeft w:val="0"/>
      <w:marRight w:val="0"/>
      <w:marTop w:val="0"/>
      <w:marBottom w:val="0"/>
      <w:divBdr>
        <w:top w:val="none" w:sz="0" w:space="0" w:color="auto"/>
        <w:left w:val="none" w:sz="0" w:space="0" w:color="auto"/>
        <w:bottom w:val="none" w:sz="0" w:space="0" w:color="auto"/>
        <w:right w:val="none" w:sz="0" w:space="0" w:color="auto"/>
      </w:divBdr>
    </w:div>
    <w:div w:id="844634793">
      <w:bodyDiv w:val="1"/>
      <w:marLeft w:val="0"/>
      <w:marRight w:val="0"/>
      <w:marTop w:val="0"/>
      <w:marBottom w:val="0"/>
      <w:divBdr>
        <w:top w:val="none" w:sz="0" w:space="0" w:color="auto"/>
        <w:left w:val="none" w:sz="0" w:space="0" w:color="auto"/>
        <w:bottom w:val="none" w:sz="0" w:space="0" w:color="auto"/>
        <w:right w:val="none" w:sz="0" w:space="0" w:color="auto"/>
      </w:divBdr>
    </w:div>
    <w:div w:id="1002968649">
      <w:bodyDiv w:val="1"/>
      <w:marLeft w:val="0"/>
      <w:marRight w:val="0"/>
      <w:marTop w:val="0"/>
      <w:marBottom w:val="0"/>
      <w:divBdr>
        <w:top w:val="none" w:sz="0" w:space="0" w:color="auto"/>
        <w:left w:val="none" w:sz="0" w:space="0" w:color="auto"/>
        <w:bottom w:val="none" w:sz="0" w:space="0" w:color="auto"/>
        <w:right w:val="none" w:sz="0" w:space="0" w:color="auto"/>
      </w:divBdr>
    </w:div>
    <w:div w:id="1072851899">
      <w:bodyDiv w:val="1"/>
      <w:marLeft w:val="0"/>
      <w:marRight w:val="0"/>
      <w:marTop w:val="0"/>
      <w:marBottom w:val="0"/>
      <w:divBdr>
        <w:top w:val="none" w:sz="0" w:space="0" w:color="auto"/>
        <w:left w:val="none" w:sz="0" w:space="0" w:color="auto"/>
        <w:bottom w:val="none" w:sz="0" w:space="0" w:color="auto"/>
        <w:right w:val="none" w:sz="0" w:space="0" w:color="auto"/>
      </w:divBdr>
    </w:div>
    <w:div w:id="1213351254">
      <w:bodyDiv w:val="1"/>
      <w:marLeft w:val="0"/>
      <w:marRight w:val="0"/>
      <w:marTop w:val="0"/>
      <w:marBottom w:val="0"/>
      <w:divBdr>
        <w:top w:val="none" w:sz="0" w:space="0" w:color="auto"/>
        <w:left w:val="none" w:sz="0" w:space="0" w:color="auto"/>
        <w:bottom w:val="none" w:sz="0" w:space="0" w:color="auto"/>
        <w:right w:val="none" w:sz="0" w:space="0" w:color="auto"/>
      </w:divBdr>
    </w:div>
    <w:div w:id="1230269863">
      <w:bodyDiv w:val="1"/>
      <w:marLeft w:val="0"/>
      <w:marRight w:val="0"/>
      <w:marTop w:val="0"/>
      <w:marBottom w:val="0"/>
      <w:divBdr>
        <w:top w:val="none" w:sz="0" w:space="0" w:color="auto"/>
        <w:left w:val="none" w:sz="0" w:space="0" w:color="auto"/>
        <w:bottom w:val="none" w:sz="0" w:space="0" w:color="auto"/>
        <w:right w:val="none" w:sz="0" w:space="0" w:color="auto"/>
      </w:divBdr>
    </w:div>
    <w:div w:id="1296525367">
      <w:bodyDiv w:val="1"/>
      <w:marLeft w:val="0"/>
      <w:marRight w:val="0"/>
      <w:marTop w:val="0"/>
      <w:marBottom w:val="0"/>
      <w:divBdr>
        <w:top w:val="none" w:sz="0" w:space="0" w:color="auto"/>
        <w:left w:val="none" w:sz="0" w:space="0" w:color="auto"/>
        <w:bottom w:val="none" w:sz="0" w:space="0" w:color="auto"/>
        <w:right w:val="none" w:sz="0" w:space="0" w:color="auto"/>
      </w:divBdr>
    </w:div>
    <w:div w:id="1384719678">
      <w:bodyDiv w:val="1"/>
      <w:marLeft w:val="0"/>
      <w:marRight w:val="0"/>
      <w:marTop w:val="0"/>
      <w:marBottom w:val="0"/>
      <w:divBdr>
        <w:top w:val="none" w:sz="0" w:space="0" w:color="auto"/>
        <w:left w:val="none" w:sz="0" w:space="0" w:color="auto"/>
        <w:bottom w:val="none" w:sz="0" w:space="0" w:color="auto"/>
        <w:right w:val="none" w:sz="0" w:space="0" w:color="auto"/>
      </w:divBdr>
    </w:div>
    <w:div w:id="1479344189">
      <w:bodyDiv w:val="1"/>
      <w:marLeft w:val="0"/>
      <w:marRight w:val="0"/>
      <w:marTop w:val="0"/>
      <w:marBottom w:val="0"/>
      <w:divBdr>
        <w:top w:val="none" w:sz="0" w:space="0" w:color="auto"/>
        <w:left w:val="none" w:sz="0" w:space="0" w:color="auto"/>
        <w:bottom w:val="none" w:sz="0" w:space="0" w:color="auto"/>
        <w:right w:val="none" w:sz="0" w:space="0" w:color="auto"/>
      </w:divBdr>
    </w:div>
    <w:div w:id="1565066231">
      <w:bodyDiv w:val="1"/>
      <w:marLeft w:val="0"/>
      <w:marRight w:val="0"/>
      <w:marTop w:val="0"/>
      <w:marBottom w:val="0"/>
      <w:divBdr>
        <w:top w:val="none" w:sz="0" w:space="0" w:color="auto"/>
        <w:left w:val="none" w:sz="0" w:space="0" w:color="auto"/>
        <w:bottom w:val="none" w:sz="0" w:space="0" w:color="auto"/>
        <w:right w:val="none" w:sz="0" w:space="0" w:color="auto"/>
      </w:divBdr>
    </w:div>
    <w:div w:id="1782609006">
      <w:bodyDiv w:val="1"/>
      <w:marLeft w:val="0"/>
      <w:marRight w:val="0"/>
      <w:marTop w:val="0"/>
      <w:marBottom w:val="0"/>
      <w:divBdr>
        <w:top w:val="none" w:sz="0" w:space="0" w:color="auto"/>
        <w:left w:val="none" w:sz="0" w:space="0" w:color="auto"/>
        <w:bottom w:val="none" w:sz="0" w:space="0" w:color="auto"/>
        <w:right w:val="none" w:sz="0" w:space="0" w:color="auto"/>
      </w:divBdr>
    </w:div>
    <w:div w:id="1832939539">
      <w:bodyDiv w:val="1"/>
      <w:marLeft w:val="0"/>
      <w:marRight w:val="0"/>
      <w:marTop w:val="0"/>
      <w:marBottom w:val="0"/>
      <w:divBdr>
        <w:top w:val="none" w:sz="0" w:space="0" w:color="auto"/>
        <w:left w:val="none" w:sz="0" w:space="0" w:color="auto"/>
        <w:bottom w:val="none" w:sz="0" w:space="0" w:color="auto"/>
        <w:right w:val="none" w:sz="0" w:space="0" w:color="auto"/>
      </w:divBdr>
    </w:div>
    <w:div w:id="1922372863">
      <w:bodyDiv w:val="1"/>
      <w:marLeft w:val="0"/>
      <w:marRight w:val="0"/>
      <w:marTop w:val="0"/>
      <w:marBottom w:val="0"/>
      <w:divBdr>
        <w:top w:val="none" w:sz="0" w:space="0" w:color="auto"/>
        <w:left w:val="none" w:sz="0" w:space="0" w:color="auto"/>
        <w:bottom w:val="none" w:sz="0" w:space="0" w:color="auto"/>
        <w:right w:val="none" w:sz="0" w:space="0" w:color="auto"/>
      </w:divBdr>
    </w:div>
    <w:div w:id="1966690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webSetting" Target="webSettings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162D719F1B4D5786AE654907424E75"/>
        <w:category>
          <w:name w:val="Algemeen"/>
          <w:gallery w:val="placeholder"/>
        </w:category>
        <w:types>
          <w:type w:val="bbPlcHdr"/>
        </w:types>
        <w:behaviors>
          <w:behavior w:val="content"/>
        </w:behaviors>
        <w:guid w:val="{6D9E21E8-F052-4060-8305-B8E3DF3A517E}"/>
      </w:docPartPr>
      <w:docPartBody>
        <w:p w:rsidR="009A000F" w:rsidRDefault="00FA7F62" w:rsidP="00FA7F62">
          <w:pPr>
            <w:pStyle w:val="82162D719F1B4D5786AE654907424E75"/>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2"/>
    <w:rsid w:val="002A538D"/>
    <w:rsid w:val="00544ACC"/>
    <w:rsid w:val="009A000F"/>
    <w:rsid w:val="00FA7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7F62"/>
  </w:style>
  <w:style w:type="paragraph" w:customStyle="1" w:styleId="82162D719F1B4D5786AE654907424E75">
    <w:name w:val="82162D719F1B4D5786AE654907424E75"/>
    <w:rsid w:val="00FA7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9ACA751A0634F8A9F64DA5EE03B0A" ma:contentTypeVersion="0" ma:contentTypeDescription="Een nieuw document maken." ma:contentTypeScope="" ma:versionID="996f1d550e9f9589c922c42dcca6eb8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FBF9E-9603-445E-BD11-904F5DEE9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661B99-B905-4F3E-9A53-85D256D090CC}">
  <ds:schemaRefs>
    <ds:schemaRef ds:uri="http://schemas.microsoft.com/sharepoint/v3/contenttype/forms"/>
  </ds:schemaRefs>
</ds:datastoreItem>
</file>

<file path=customXml/itemProps3.xml><?xml version="1.0" encoding="utf-8"?>
<ds:datastoreItem xmlns:ds="http://schemas.openxmlformats.org/officeDocument/2006/customXml" ds:itemID="{2A625B30-7F50-4448-A3FD-0B9D61314D97}">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709BC0B0-4B1E-462E-B81D-8F1A6A2D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1440</Words>
  <Characters>7922</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Luijpen-Bloem W.</dc:creator>
  <cp:lastModifiedBy>Hans Geurts</cp:lastModifiedBy>
  <cp:revision>2</cp:revision>
  <dcterms:created xsi:type="dcterms:W3CDTF">2020-07-09T12:07:00Z</dcterms:created>
  <dcterms:modified xsi:type="dcterms:W3CDTF">2020-07-09T12:07:00Z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bij het voorstel van wet tot wijziging van de Woningwet naar aanleiding van de evaluatie van de herziene Woningwet</vt:lpwstr>
  </property>
  <property fmtid="{D5CDD505-2E9C-101B-9397-08002B2CF9AE}" pid="4" name="Datum">
    <vt:lpwstr>11 juni 2020</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2020-0000350528</vt:lpwstr>
  </property>
  <property fmtid="{D5CDD505-2E9C-101B-9397-08002B2CF9AE}" pid="8" name="UwKenmerk">
    <vt:lpwstr/>
  </property>
  <property fmtid="{D5CDD505-2E9C-101B-9397-08002B2CF9AE}" pid="9" name="ContentTypeId">
    <vt:lpwstr>0x010100DDD9ACA751A0634F8A9F64DA5EE03B0A</vt:lpwstr>
  </property>
</Properties>
</file>