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BB1" w:rsidRPr="00B26F8B" w:rsidRDefault="00140307" w:rsidP="00B26F8B">
      <w:pPr>
        <w:spacing w:line="240" w:lineRule="atLeast"/>
        <w:contextualSpacing/>
        <w:rPr>
          <w:b/>
          <w:sz w:val="20"/>
          <w:szCs w:val="20"/>
        </w:rPr>
      </w:pPr>
      <w:r w:rsidRPr="00B26F8B">
        <w:rPr>
          <w:b/>
          <w:sz w:val="20"/>
          <w:szCs w:val="20"/>
        </w:rPr>
        <w:t>Evaluatie herziening woningwet</w:t>
      </w:r>
    </w:p>
    <w:p w:rsidR="00186BB1" w:rsidRPr="00B26F8B" w:rsidRDefault="00186BB1" w:rsidP="00B26F8B">
      <w:pPr>
        <w:spacing w:line="240" w:lineRule="atLeast"/>
        <w:contextualSpacing/>
      </w:pPr>
    </w:p>
    <w:p w:rsidR="00186BB1" w:rsidRPr="00B26F8B" w:rsidRDefault="00140307" w:rsidP="00B26F8B">
      <w:pPr>
        <w:spacing w:line="240" w:lineRule="atLeast"/>
        <w:contextualSpacing/>
        <w:rPr>
          <w:u w:val="single"/>
        </w:rPr>
      </w:pPr>
      <w:r w:rsidRPr="00B26F8B">
        <w:rPr>
          <w:u w:val="single"/>
        </w:rPr>
        <w:t>Aanleiding</w:t>
      </w:r>
    </w:p>
    <w:p w:rsidR="00186BB1" w:rsidRPr="00B26F8B" w:rsidRDefault="00140307" w:rsidP="00315D89">
      <w:pPr>
        <w:pStyle w:val="Lijstalinea"/>
        <w:numPr>
          <w:ilvl w:val="0"/>
          <w:numId w:val="11"/>
        </w:numPr>
        <w:spacing w:line="240" w:lineRule="atLeast"/>
        <w:ind w:left="360"/>
        <w:contextualSpacing/>
      </w:pPr>
      <w:r w:rsidRPr="00B26F8B">
        <w:t xml:space="preserve">Op grond van de Herzieningswet moet de doeltreffendheid van de herziening van de Woningwet binnen drie jaar na inwerkingtreding worden geëvalueerd. Evalueren na zo’n korte termijn is lastig, omdat wellicht niet alle effecten goed zichtbaar zullen zijn. Juist omdat wijzigingen ingrijpend waren is het toch ook heel belangrijk om </w:t>
      </w:r>
      <w:r w:rsidR="001D43F0" w:rsidRPr="00B26F8B">
        <w:t>tijdig</w:t>
      </w:r>
      <w:r w:rsidRPr="00B26F8B">
        <w:t xml:space="preserve"> scherp te krijgen wat goed en wat minder goed functioneert, door grondig onderzoek uit te voeren om op basis daarvan gefundeerde keuzes, en waar nodig aanpassingen, te kunnen maken.</w:t>
      </w:r>
    </w:p>
    <w:p w:rsidR="00186BB1" w:rsidRPr="00B26F8B" w:rsidRDefault="00140307" w:rsidP="00315D89">
      <w:pPr>
        <w:pStyle w:val="Lijstalinea"/>
        <w:numPr>
          <w:ilvl w:val="0"/>
          <w:numId w:val="11"/>
        </w:numPr>
        <w:spacing w:line="240" w:lineRule="atLeast"/>
        <w:ind w:left="360"/>
        <w:contextualSpacing/>
      </w:pPr>
      <w:r w:rsidRPr="00B26F8B">
        <w:t>Om de doeltreffendheid en effecten te kunnen beoordelen moet in kaart worden gebracht welke ontwikkelingen (positief en negatief) zich hebben voorgedaan als gevolg van de wettelijke wijzigingen, ten aanzien van de vooraf gestelde doelen. Naast het al dan niet bereiken van gewenste effecten dient er oog te zijn voor ongewenste neveneffecten van de wijzigingen. De volgende doelen waren beoogd met de betreffende wetswijzigingen:</w:t>
      </w:r>
    </w:p>
    <w:p w:rsidR="00186BB1" w:rsidRPr="00B26F8B" w:rsidRDefault="00140307" w:rsidP="00B26F8B">
      <w:pPr>
        <w:pStyle w:val="Lijstalinea"/>
        <w:numPr>
          <w:ilvl w:val="1"/>
          <w:numId w:val="11"/>
        </w:numPr>
        <w:spacing w:line="240" w:lineRule="atLeast"/>
        <w:ind w:left="1080"/>
        <w:contextualSpacing/>
      </w:pPr>
      <w:r w:rsidRPr="00B26F8B">
        <w:t xml:space="preserve">Terug naar de kerntaak van corporaties </w:t>
      </w:r>
    </w:p>
    <w:p w:rsidR="00186BB1" w:rsidRPr="00B26F8B" w:rsidRDefault="00140307" w:rsidP="00B26F8B">
      <w:pPr>
        <w:pStyle w:val="Lijstalinea"/>
        <w:numPr>
          <w:ilvl w:val="1"/>
          <w:numId w:val="11"/>
        </w:numPr>
        <w:spacing w:line="240" w:lineRule="atLeast"/>
        <w:ind w:left="1080"/>
        <w:contextualSpacing/>
      </w:pPr>
      <w:r w:rsidRPr="00B26F8B">
        <w:t xml:space="preserve">Versterking positie gemeenten en huurdersorganisaties </w:t>
      </w:r>
    </w:p>
    <w:p w:rsidR="00186BB1" w:rsidRPr="00B26F8B" w:rsidRDefault="00140307" w:rsidP="00B26F8B">
      <w:pPr>
        <w:pStyle w:val="Lijstalinea"/>
        <w:numPr>
          <w:ilvl w:val="1"/>
          <w:numId w:val="11"/>
        </w:numPr>
        <w:spacing w:line="240" w:lineRule="atLeast"/>
        <w:ind w:left="1080"/>
        <w:contextualSpacing/>
      </w:pPr>
      <w:r w:rsidRPr="00B26F8B">
        <w:t>Bescherming maatschappelijk bestemd vermogen</w:t>
      </w:r>
    </w:p>
    <w:p w:rsidR="00186BB1" w:rsidRPr="00B26F8B" w:rsidRDefault="00140307" w:rsidP="00B26F8B">
      <w:pPr>
        <w:pStyle w:val="Lijstalinea"/>
        <w:numPr>
          <w:ilvl w:val="1"/>
          <w:numId w:val="11"/>
        </w:numPr>
        <w:spacing w:line="240" w:lineRule="atLeast"/>
        <w:ind w:left="1080"/>
        <w:contextualSpacing/>
      </w:pPr>
      <w:r w:rsidRPr="00B26F8B">
        <w:t xml:space="preserve">Voorkomen marktverstoring </w:t>
      </w:r>
    </w:p>
    <w:p w:rsidR="00186BB1" w:rsidRPr="00B26F8B" w:rsidRDefault="00140307" w:rsidP="00B26F8B">
      <w:pPr>
        <w:pStyle w:val="Lijstalinea"/>
        <w:numPr>
          <w:ilvl w:val="1"/>
          <w:numId w:val="11"/>
        </w:numPr>
        <w:spacing w:line="240" w:lineRule="atLeast"/>
        <w:ind w:left="1080"/>
        <w:contextualSpacing/>
      </w:pPr>
      <w:r w:rsidRPr="00B26F8B">
        <w:t xml:space="preserve">Verbetering van </w:t>
      </w:r>
      <w:proofErr w:type="spellStart"/>
      <w:r w:rsidRPr="00B26F8B">
        <w:t>governance</w:t>
      </w:r>
      <w:proofErr w:type="spellEnd"/>
      <w:r w:rsidRPr="00B26F8B">
        <w:t xml:space="preserve"> en toezicht (sanering WSW)</w:t>
      </w:r>
    </w:p>
    <w:p w:rsidR="00186BB1" w:rsidRPr="00B26F8B" w:rsidRDefault="00140307" w:rsidP="00B26F8B">
      <w:pPr>
        <w:pStyle w:val="Lijstalinea"/>
        <w:numPr>
          <w:ilvl w:val="1"/>
          <w:numId w:val="11"/>
        </w:numPr>
        <w:spacing w:line="240" w:lineRule="atLeast"/>
        <w:ind w:left="1080"/>
        <w:contextualSpacing/>
      </w:pPr>
      <w:r w:rsidRPr="00B26F8B">
        <w:t>Wettelijke basis bieden aan wooncoöperaties</w:t>
      </w:r>
    </w:p>
    <w:p w:rsidR="00186BB1" w:rsidRPr="00B26F8B" w:rsidRDefault="00140307" w:rsidP="00315D89">
      <w:pPr>
        <w:pStyle w:val="Lijstalinea"/>
        <w:numPr>
          <w:ilvl w:val="0"/>
          <w:numId w:val="11"/>
        </w:numPr>
        <w:spacing w:line="240" w:lineRule="atLeast"/>
        <w:ind w:left="360"/>
        <w:contextualSpacing/>
      </w:pPr>
      <w:r w:rsidRPr="00B26F8B">
        <w:t xml:space="preserve">Het betreft de evaluatie van de doeltreffendheid en effecten van onderdelen van de Woningwet. Dat betekent dat niet wordt geëvalueerd </w:t>
      </w:r>
      <w:r w:rsidR="001D43F0" w:rsidRPr="00B26F8B">
        <w:t xml:space="preserve">hoe </w:t>
      </w:r>
      <w:r w:rsidRPr="00B26F8B">
        <w:t xml:space="preserve">de sector functioneert (daar wordt in andere onderzoeken al naar gekeken), maar alleen </w:t>
      </w:r>
      <w:r w:rsidR="001D43F0" w:rsidRPr="00B26F8B">
        <w:t xml:space="preserve">naar de werking van </w:t>
      </w:r>
      <w:r w:rsidRPr="00B26F8B">
        <w:t xml:space="preserve">hetgeen in de wet is bepaald. </w:t>
      </w:r>
    </w:p>
    <w:p w:rsidR="00186BB1" w:rsidRPr="00B26F8B" w:rsidRDefault="00186BB1" w:rsidP="00B26F8B">
      <w:pPr>
        <w:spacing w:line="240" w:lineRule="atLeast"/>
        <w:contextualSpacing/>
        <w:rPr>
          <w:i/>
        </w:rPr>
      </w:pPr>
    </w:p>
    <w:p w:rsidR="00186BB1" w:rsidRPr="00B26F8B" w:rsidRDefault="00140307" w:rsidP="00B26F8B">
      <w:pPr>
        <w:spacing w:line="240" w:lineRule="atLeast"/>
        <w:contextualSpacing/>
        <w:rPr>
          <w:u w:val="single"/>
        </w:rPr>
      </w:pPr>
      <w:r w:rsidRPr="00B26F8B">
        <w:rPr>
          <w:u w:val="single"/>
        </w:rPr>
        <w:t>Vormgeving</w:t>
      </w:r>
    </w:p>
    <w:p w:rsidR="00186BB1" w:rsidRPr="00B26F8B" w:rsidRDefault="00140307" w:rsidP="00315D89">
      <w:pPr>
        <w:pStyle w:val="Lijstalinea"/>
        <w:numPr>
          <w:ilvl w:val="0"/>
          <w:numId w:val="12"/>
        </w:numPr>
        <w:spacing w:line="240" w:lineRule="atLeast"/>
        <w:ind w:left="360"/>
        <w:contextualSpacing/>
      </w:pPr>
      <w:r w:rsidRPr="00B26F8B">
        <w:t>De evaluatieopzet bestaat uit 2 fases: 1) data- en gegevensverzameling en 2) het duiden van de verzamelde gegevens en daaraan conclusies verbinden.</w:t>
      </w:r>
    </w:p>
    <w:p w:rsidR="00186BB1" w:rsidRPr="00B26F8B" w:rsidRDefault="00140307" w:rsidP="00315D89">
      <w:pPr>
        <w:pStyle w:val="Lijstalinea"/>
        <w:numPr>
          <w:ilvl w:val="0"/>
          <w:numId w:val="10"/>
        </w:numPr>
        <w:spacing w:line="240" w:lineRule="atLeast"/>
        <w:ind w:left="360"/>
        <w:contextualSpacing/>
      </w:pPr>
      <w:r w:rsidRPr="00B26F8B">
        <w:rPr>
          <w:i/>
        </w:rPr>
        <w:t>Fase 1</w:t>
      </w:r>
      <w:r w:rsidRPr="00B26F8B">
        <w:t xml:space="preserve"> - data en gegevensverzameling: In deze eerste fase wordt zoveel mogelijk informatie verzameld, die inzicht verschaft over de werking van de Woningwet. Een deel van deze informatie is beschikbaar in de dvi/dpi</w:t>
      </w:r>
      <w:r w:rsidR="001D43F0" w:rsidRPr="00B26F8B">
        <w:t>-gegevens die woningcorporaties jaarlijks aanleveren</w:t>
      </w:r>
      <w:r w:rsidRPr="00B26F8B">
        <w:t xml:space="preserve">, voor het overige wordt gebruik </w:t>
      </w:r>
      <w:r w:rsidR="001D43F0" w:rsidRPr="00B26F8B">
        <w:t>gemaakt</w:t>
      </w:r>
      <w:r w:rsidRPr="00B26F8B">
        <w:t xml:space="preserve"> van eerder uitgezette en nog uit te zetten externe onderzoeken.</w:t>
      </w:r>
    </w:p>
    <w:p w:rsidR="00186BB1" w:rsidRPr="00B26F8B" w:rsidRDefault="00140307" w:rsidP="00315D89">
      <w:pPr>
        <w:pStyle w:val="Lijstalinea"/>
        <w:numPr>
          <w:ilvl w:val="0"/>
          <w:numId w:val="10"/>
        </w:numPr>
        <w:spacing w:line="240" w:lineRule="atLeast"/>
        <w:ind w:left="360"/>
        <w:contextualSpacing/>
      </w:pPr>
      <w:r w:rsidRPr="00B26F8B">
        <w:t>In deze fase worden in ieder geval drie onderzoeken uitgevoerd.</w:t>
      </w:r>
    </w:p>
    <w:p w:rsidR="00186BB1" w:rsidRPr="00B26F8B" w:rsidRDefault="00140307" w:rsidP="00315D89">
      <w:pPr>
        <w:pStyle w:val="Lijstalinea"/>
        <w:numPr>
          <w:ilvl w:val="1"/>
          <w:numId w:val="10"/>
        </w:numPr>
        <w:spacing w:line="240" w:lineRule="atLeast"/>
        <w:ind w:left="993"/>
        <w:contextualSpacing/>
      </w:pPr>
      <w:r w:rsidRPr="00B26F8B">
        <w:t>Onderzoek naar de cijfermatige ontwikkelingen na inwerkingtreding van de herziene wet</w:t>
      </w:r>
    </w:p>
    <w:p w:rsidR="00186BB1" w:rsidRPr="00B26F8B" w:rsidRDefault="00140307" w:rsidP="00315D89">
      <w:pPr>
        <w:pStyle w:val="Lijstalinea"/>
        <w:numPr>
          <w:ilvl w:val="1"/>
          <w:numId w:val="10"/>
        </w:numPr>
        <w:spacing w:line="240" w:lineRule="atLeast"/>
        <w:ind w:left="993"/>
        <w:contextualSpacing/>
      </w:pPr>
      <w:r w:rsidRPr="00B26F8B">
        <w:t>Onderzoek naar het gewijzigde toezicht- en saneringsstelsel</w:t>
      </w:r>
    </w:p>
    <w:p w:rsidR="00186BB1" w:rsidRPr="00B26F8B" w:rsidRDefault="00140307" w:rsidP="00315D89">
      <w:pPr>
        <w:pStyle w:val="Lijstalinea"/>
        <w:numPr>
          <w:ilvl w:val="1"/>
          <w:numId w:val="10"/>
        </w:numPr>
        <w:spacing w:line="240" w:lineRule="atLeast"/>
        <w:ind w:left="993"/>
        <w:contextualSpacing/>
      </w:pPr>
      <w:r w:rsidRPr="00B26F8B">
        <w:t xml:space="preserve">Onderzoek naar de ervaringen (werken de maatregelen in de herziene wet/ wat zijn de effecten (zowel positief als negatief) van de (maatregelen in de) herziene wet). </w:t>
      </w:r>
    </w:p>
    <w:p w:rsidR="001D43F0" w:rsidRPr="00315D89" w:rsidDel="00382A59" w:rsidRDefault="001D43F0" w:rsidP="00B26F8B">
      <w:pPr>
        <w:spacing w:line="240" w:lineRule="atLeast"/>
        <w:ind w:firstLine="360"/>
        <w:contextualSpacing/>
      </w:pPr>
      <w:r w:rsidRPr="00B26F8B" w:rsidDel="00382A59">
        <w:t>De nadere uitwerking</w:t>
      </w:r>
      <w:r w:rsidRPr="00315D89" w:rsidDel="00382A59">
        <w:t xml:space="preserve"> van de 3 sporen binnen de evaluatie</w:t>
      </w:r>
      <w:r w:rsidRPr="00B26F8B" w:rsidDel="00382A59">
        <w:t xml:space="preserve"> is hier</w:t>
      </w:r>
      <w:r w:rsidR="008A783A">
        <w:t>onder</w:t>
      </w:r>
      <w:r w:rsidRPr="00B26F8B" w:rsidDel="00382A59">
        <w:t xml:space="preserve"> opgenomen.</w:t>
      </w:r>
    </w:p>
    <w:p w:rsidR="00186BB1" w:rsidRPr="00B26F8B" w:rsidRDefault="00140307" w:rsidP="00315D89">
      <w:pPr>
        <w:pStyle w:val="Lijstalinea"/>
        <w:numPr>
          <w:ilvl w:val="0"/>
          <w:numId w:val="10"/>
        </w:numPr>
        <w:spacing w:line="240" w:lineRule="atLeast"/>
        <w:ind w:left="360"/>
        <w:contextualSpacing/>
      </w:pPr>
      <w:r w:rsidRPr="00B26F8B">
        <w:t>In deze onderzoeken zullen alle belangrijke thema’s</w:t>
      </w:r>
      <w:r w:rsidR="00622498" w:rsidRPr="00B26F8B">
        <w:t>/maatregelen</w:t>
      </w:r>
      <w:r w:rsidRPr="00B26F8B">
        <w:t xml:space="preserve"> binnen de hierboven geformuleerde doelen terugkomen, maar zal ook aandacht zijn voor effecten daarvan zoals de lastenontwikkeling, mogelijk wordt hier nog specifiek nader onderzoek naar gedaan.</w:t>
      </w:r>
      <w:r w:rsidR="00622498" w:rsidRPr="00B26F8B">
        <w:t xml:space="preserve"> (Een overzicht van wijzigingen in de herziening van de Woningwet is opgenomen in bijlage 2.)</w:t>
      </w:r>
    </w:p>
    <w:p w:rsidR="00186BB1" w:rsidRPr="00B26F8B" w:rsidRDefault="00140307" w:rsidP="00315D89">
      <w:pPr>
        <w:pStyle w:val="Lijstalinea"/>
        <w:numPr>
          <w:ilvl w:val="0"/>
          <w:numId w:val="10"/>
        </w:numPr>
        <w:spacing w:line="240" w:lineRule="atLeast"/>
        <w:ind w:left="360"/>
        <w:contextualSpacing/>
      </w:pPr>
      <w:r w:rsidRPr="00B26F8B">
        <w:rPr>
          <w:i/>
        </w:rPr>
        <w:t>Fase 2</w:t>
      </w:r>
      <w:r w:rsidRPr="00B26F8B">
        <w:t xml:space="preserve"> - duiden van gegevens: Wanneer alle informatie bekend is moet worden beoordeeld wat de informatie zegt over de werking van de wet en welke (beleidsmatige) conclusies te trekken zijn, alsmede of en zo ja, welke maatregelen de uitkomst van de evaluatie vraagt. Dit zal door BZK worden gedaan met input van alle betrokken partijen.</w:t>
      </w:r>
    </w:p>
    <w:p w:rsidR="00186BB1" w:rsidRPr="00B26F8B" w:rsidRDefault="00140307" w:rsidP="00315D89">
      <w:pPr>
        <w:pStyle w:val="Lijstalinea"/>
        <w:numPr>
          <w:ilvl w:val="0"/>
          <w:numId w:val="10"/>
        </w:numPr>
        <w:spacing w:line="240" w:lineRule="atLeast"/>
        <w:ind w:left="360"/>
        <w:contextualSpacing/>
      </w:pPr>
      <w:r w:rsidRPr="00B26F8B">
        <w:t>Dit alles zal (conform de wettelijke verplichting) resulteren in een beleidsbrief aan de Kamer. Daarbij zal de informatie uit Fase 1 en de conclusies in Fase 2 separaat worden gepresenteerd zodat inzichtelijk is op basis waarvan de conclusies zijn getrokken.</w:t>
      </w:r>
    </w:p>
    <w:p w:rsidR="00186BB1" w:rsidRPr="00B26F8B" w:rsidRDefault="00186BB1" w:rsidP="00B26F8B">
      <w:pPr>
        <w:spacing w:line="240" w:lineRule="atLeast"/>
        <w:contextualSpacing/>
      </w:pPr>
    </w:p>
    <w:p w:rsidR="00186BB1" w:rsidRPr="00B26F8B" w:rsidRDefault="00140307" w:rsidP="00B26F8B">
      <w:pPr>
        <w:spacing w:line="240" w:lineRule="atLeast"/>
        <w:contextualSpacing/>
        <w:rPr>
          <w:u w:val="single"/>
        </w:rPr>
      </w:pPr>
      <w:r w:rsidRPr="00B26F8B">
        <w:rPr>
          <w:u w:val="single"/>
        </w:rPr>
        <w:t>Voorgesteld proces</w:t>
      </w:r>
    </w:p>
    <w:p w:rsidR="00186BB1" w:rsidRPr="00B26F8B" w:rsidRDefault="00140307" w:rsidP="00B26F8B">
      <w:pPr>
        <w:spacing w:line="240" w:lineRule="atLeast"/>
        <w:contextualSpacing/>
      </w:pPr>
      <w:r w:rsidRPr="00B26F8B">
        <w:t xml:space="preserve">Voorstel is om gedurende het hele proces een regulier klankbordoverleg te hebben met de betrokken </w:t>
      </w:r>
      <w:r w:rsidR="008A783A">
        <w:t>sector</w:t>
      </w:r>
      <w:r w:rsidRPr="00B26F8B">
        <w:t xml:space="preserve">partijen waarin onder meer zal worden gesproken over (tussentijdse) resultaten, over het duiden van resultaten en de conclusies die daaraan verbonden worden. Er zal zeker 5 keer overleg </w:t>
      </w:r>
      <w:r w:rsidRPr="00B26F8B">
        <w:lastRenderedPageBreak/>
        <w:t xml:space="preserve">worden gepland waarvoor in ieder geval de volgende partijen worden uitgenodigd: </w:t>
      </w:r>
      <w:proofErr w:type="spellStart"/>
      <w:r w:rsidRPr="00B26F8B">
        <w:t>Aw</w:t>
      </w:r>
      <w:proofErr w:type="spellEnd"/>
      <w:r w:rsidRPr="00B26F8B">
        <w:t>, WSW, VNG, Aedes, Woonbond, VTW, SVWN, IVBN.</w:t>
      </w:r>
    </w:p>
    <w:p w:rsidR="00622498" w:rsidRPr="00B26F8B" w:rsidRDefault="00622498" w:rsidP="00B26F8B">
      <w:pPr>
        <w:spacing w:line="240" w:lineRule="atLeast"/>
        <w:contextualSpacing/>
        <w:rPr>
          <w:i/>
        </w:rPr>
      </w:pPr>
    </w:p>
    <w:p w:rsidR="00186BB1" w:rsidRPr="00B26F8B" w:rsidRDefault="00140307" w:rsidP="00B26F8B">
      <w:pPr>
        <w:spacing w:line="240" w:lineRule="atLeast"/>
        <w:contextualSpacing/>
        <w:rPr>
          <w:i/>
        </w:rPr>
      </w:pPr>
      <w:r w:rsidRPr="00B26F8B">
        <w:rPr>
          <w:i/>
        </w:rPr>
        <w:t xml:space="preserve">Verwachtingen </w:t>
      </w:r>
    </w:p>
    <w:p w:rsidR="00186BB1" w:rsidRPr="00B26F8B" w:rsidRDefault="00140307" w:rsidP="00B26F8B">
      <w:pPr>
        <w:spacing w:line="240" w:lineRule="atLeast"/>
        <w:contextualSpacing/>
      </w:pPr>
      <w:r w:rsidRPr="00B26F8B">
        <w:t>De verantwoordelijkheid voor de evaluatie ligt bij BZK. De Minister heeft de wettelijke verplichting de doeltreffendheid van de herziening van de Woningwet te evalueren. De Minister zal uiteindelijk ook moeten beoordelen of zij met beleidsvoorstellen, dan wel een wetswijziging wil komen naar aanleiding van de evaluatie.</w:t>
      </w:r>
    </w:p>
    <w:p w:rsidR="00186BB1" w:rsidRPr="00B26F8B" w:rsidRDefault="00186BB1" w:rsidP="00B26F8B">
      <w:pPr>
        <w:spacing w:line="240" w:lineRule="atLeast"/>
        <w:contextualSpacing/>
      </w:pPr>
    </w:p>
    <w:p w:rsidR="00186BB1" w:rsidRPr="00B26F8B" w:rsidRDefault="00140307" w:rsidP="00B26F8B">
      <w:pPr>
        <w:spacing w:line="240" w:lineRule="atLeast"/>
        <w:contextualSpacing/>
      </w:pPr>
      <w:r w:rsidRPr="00B26F8B">
        <w:t>Het regulier overleg dient ertoe een breed gedragen beeld te krijgen over de ontwikkelingen die hebben plaatsgevonden. De data uit fase 1 dienen betrouwbaar te zijn en een juiste weergave te geven. Ook bespreken we graag met jullie hoe de gegevens uit fase 1 geduid moeten worden, en zullen we naar aanleiding van bespreking met jullie concept-conclusies op papier zetten, die we graag bespreken. Voor al deze stappen geldt dat de eindverantwoordelijkheid van de evaluatie bij BZK ligt.</w:t>
      </w:r>
    </w:p>
    <w:p w:rsidR="00186BB1" w:rsidRPr="00B26F8B" w:rsidRDefault="00186BB1" w:rsidP="00B26F8B">
      <w:pPr>
        <w:spacing w:line="240" w:lineRule="atLeast"/>
        <w:contextualSpacing/>
      </w:pPr>
    </w:p>
    <w:p w:rsidR="00186BB1" w:rsidRPr="00B26F8B" w:rsidRDefault="00140307" w:rsidP="00B26F8B">
      <w:pPr>
        <w:spacing w:line="240" w:lineRule="atLeast"/>
        <w:contextualSpacing/>
      </w:pPr>
      <w:r w:rsidRPr="00B26F8B">
        <w:t xml:space="preserve">Specifiek voor </w:t>
      </w:r>
      <w:r w:rsidR="001D43F0" w:rsidRPr="00B26F8B">
        <w:t>het onderzoek/</w:t>
      </w:r>
      <w:r w:rsidRPr="00B26F8B">
        <w:t xml:space="preserve">spoor 3 is er voor sectorpartijen nog ruimte om op korte termijn aandachtspunten (onderwerpen/maatregelen) mee te geven aan BZK die kunnen leiden tot meer of minder aandacht in enquêtes en vraaggesprekken. De exacte formulering van vragen zal worden overgelaten aan de expertise van de opdrachtnemer. Daarnaast zullen wij een beroep moeten doen op jullie om een zo breed mogelijk bereik en zo hoog mogelijke respons te realiseren in de enquêtes. Dat kan bijvoorbeeld door: </w:t>
      </w:r>
    </w:p>
    <w:p w:rsidR="00186BB1" w:rsidRPr="00315D89" w:rsidRDefault="00140307" w:rsidP="00B26F8B">
      <w:pPr>
        <w:pStyle w:val="Lijstalinea"/>
        <w:numPr>
          <w:ilvl w:val="0"/>
          <w:numId w:val="27"/>
        </w:numPr>
        <w:spacing w:line="240" w:lineRule="atLeast"/>
        <w:contextualSpacing/>
      </w:pPr>
      <w:r w:rsidRPr="00315D89">
        <w:t>Het identificeren van de meest relevante aan te schrijven doelgroepen (Bestuurders of  Projectleiders Woningwet? Ambtenaren of wethouders?);</w:t>
      </w:r>
    </w:p>
    <w:p w:rsidR="00186BB1" w:rsidRPr="00315D89" w:rsidRDefault="00140307" w:rsidP="00B26F8B">
      <w:pPr>
        <w:pStyle w:val="Lijstalinea"/>
        <w:numPr>
          <w:ilvl w:val="0"/>
          <w:numId w:val="27"/>
        </w:numPr>
        <w:spacing w:line="240" w:lineRule="atLeast"/>
        <w:contextualSpacing/>
      </w:pPr>
      <w:r w:rsidRPr="00315D89">
        <w:t>Het direct kunnen benaderen van de achterban/leden voor deelname aan enquêtes en/of gespreksrondes via een emailadres;</w:t>
      </w:r>
    </w:p>
    <w:p w:rsidR="00186BB1" w:rsidRPr="00315D89" w:rsidRDefault="00140307" w:rsidP="00B26F8B">
      <w:pPr>
        <w:pStyle w:val="Lijstalinea"/>
        <w:numPr>
          <w:ilvl w:val="0"/>
          <w:numId w:val="27"/>
        </w:numPr>
        <w:spacing w:line="240" w:lineRule="atLeast"/>
        <w:contextualSpacing/>
      </w:pPr>
      <w:r w:rsidRPr="00315D89">
        <w:t xml:space="preserve">In brede zin bekend te maken dat de evaluatie van de Woningwet </w:t>
      </w:r>
      <w:r w:rsidR="00F74E1C" w:rsidRPr="00B26F8B">
        <w:t xml:space="preserve">is </w:t>
      </w:r>
      <w:r w:rsidRPr="00315D89">
        <w:t xml:space="preserve">gestart </w:t>
      </w:r>
      <w:r w:rsidR="00F74E1C" w:rsidRPr="00B26F8B">
        <w:t>en de uitkomst van belang is voor eventuele aanpassingen van het beleid of de wetgeving</w:t>
      </w:r>
      <w:r w:rsidRPr="00315D89">
        <w:t>.</w:t>
      </w:r>
    </w:p>
    <w:p w:rsidR="00186BB1" w:rsidRDefault="00186BB1" w:rsidP="00B26F8B">
      <w:pPr>
        <w:spacing w:line="240" w:lineRule="atLeast"/>
        <w:contextualSpacing/>
      </w:pPr>
    </w:p>
    <w:p w:rsidR="00186BB1" w:rsidRPr="00B26F8B" w:rsidRDefault="00140307" w:rsidP="00B26F8B">
      <w:pPr>
        <w:spacing w:line="240" w:lineRule="atLeast"/>
        <w:contextualSpacing/>
        <w:rPr>
          <w:i/>
        </w:rPr>
      </w:pPr>
      <w:r w:rsidRPr="00B26F8B">
        <w:rPr>
          <w:i/>
        </w:rPr>
        <w:t>Planning</w:t>
      </w:r>
    </w:p>
    <w:p w:rsidR="00186BB1" w:rsidRPr="00B26F8B" w:rsidRDefault="00140307" w:rsidP="00315D89">
      <w:pPr>
        <w:spacing w:line="240" w:lineRule="atLeast"/>
        <w:contextualSpacing/>
      </w:pPr>
      <w:r w:rsidRPr="00B26F8B">
        <w:t>Onderzoek</w:t>
      </w:r>
      <w:r w:rsidR="00F74E1C" w:rsidRPr="00B26F8B">
        <w:t>/spoor</w:t>
      </w:r>
      <w:r w:rsidRPr="00B26F8B">
        <w:t xml:space="preserve"> 1</w:t>
      </w:r>
    </w:p>
    <w:p w:rsidR="00186BB1" w:rsidRPr="00B26F8B" w:rsidRDefault="00140307" w:rsidP="00315D89">
      <w:pPr>
        <w:pStyle w:val="Lijstalinea"/>
        <w:numPr>
          <w:ilvl w:val="1"/>
          <w:numId w:val="15"/>
        </w:numPr>
        <w:spacing w:line="240" w:lineRule="atLeast"/>
        <w:contextualSpacing/>
      </w:pPr>
      <w:r w:rsidRPr="00B26F8B">
        <w:t>Heden – mei: gegevens 2014 verwerken in rapport</w:t>
      </w:r>
    </w:p>
    <w:p w:rsidR="00186BB1" w:rsidRPr="00B26F8B" w:rsidRDefault="00140307" w:rsidP="00315D89">
      <w:pPr>
        <w:pStyle w:val="Lijstalinea"/>
        <w:numPr>
          <w:ilvl w:val="1"/>
          <w:numId w:val="15"/>
        </w:numPr>
        <w:spacing w:line="240" w:lineRule="atLeast"/>
        <w:contextualSpacing/>
      </w:pPr>
      <w:r w:rsidRPr="00B26F8B">
        <w:t>Na juli: zodra de data van de dvi</w:t>
      </w:r>
      <w:r w:rsidR="001D43F0" w:rsidRPr="00B26F8B">
        <w:t xml:space="preserve"> </w:t>
      </w:r>
      <w:r w:rsidRPr="00B26F8B">
        <w:t>2017 beschikbaar zijn (moet</w:t>
      </w:r>
      <w:r w:rsidR="00F74E1C" w:rsidRPr="00B26F8B">
        <w:t>en</w:t>
      </w:r>
      <w:r w:rsidRPr="00B26F8B">
        <w:t xml:space="preserve"> uiterlijk 1 juli worden aangeleverd), z</w:t>
      </w:r>
      <w:r w:rsidR="00F74E1C" w:rsidRPr="00B26F8B">
        <w:t>u</w:t>
      </w:r>
      <w:r w:rsidRPr="00B26F8B">
        <w:t>l</w:t>
      </w:r>
      <w:r w:rsidR="00F74E1C" w:rsidRPr="00B26F8B">
        <w:t>len</w:t>
      </w:r>
      <w:r w:rsidRPr="00B26F8B">
        <w:t xml:space="preserve"> deze worden verwerkt in het rapport.</w:t>
      </w:r>
    </w:p>
    <w:p w:rsidR="0059691B" w:rsidRPr="00B26F8B" w:rsidRDefault="0059691B" w:rsidP="00315D89">
      <w:pPr>
        <w:spacing w:line="240" w:lineRule="atLeast"/>
        <w:contextualSpacing/>
      </w:pPr>
    </w:p>
    <w:p w:rsidR="00186BB1" w:rsidRPr="00B26F8B" w:rsidRDefault="00140307" w:rsidP="00315D89">
      <w:pPr>
        <w:spacing w:line="240" w:lineRule="atLeast"/>
        <w:contextualSpacing/>
      </w:pPr>
      <w:r w:rsidRPr="00B26F8B">
        <w:t>Onderzoek</w:t>
      </w:r>
      <w:r w:rsidR="00F74E1C" w:rsidRPr="00B26F8B">
        <w:t>/spoor</w:t>
      </w:r>
      <w:r w:rsidRPr="00B26F8B">
        <w:t xml:space="preserve"> 2</w:t>
      </w:r>
    </w:p>
    <w:p w:rsidR="00186BB1" w:rsidRPr="00B26F8B" w:rsidRDefault="00140307" w:rsidP="00315D89">
      <w:pPr>
        <w:pStyle w:val="Lijstalinea"/>
        <w:numPr>
          <w:ilvl w:val="1"/>
          <w:numId w:val="15"/>
        </w:numPr>
        <w:spacing w:line="240" w:lineRule="atLeast"/>
        <w:contextualSpacing/>
      </w:pPr>
      <w:r w:rsidRPr="00B26F8B">
        <w:t>Looptijd onderzoek februari - juni</w:t>
      </w:r>
    </w:p>
    <w:p w:rsidR="0059691B" w:rsidRPr="00B26F8B" w:rsidRDefault="0059691B" w:rsidP="00315D89">
      <w:pPr>
        <w:spacing w:line="240" w:lineRule="atLeast"/>
        <w:contextualSpacing/>
      </w:pPr>
    </w:p>
    <w:p w:rsidR="00186BB1" w:rsidRPr="00B26F8B" w:rsidRDefault="00140307" w:rsidP="00315D89">
      <w:pPr>
        <w:spacing w:line="240" w:lineRule="atLeast"/>
        <w:contextualSpacing/>
      </w:pPr>
      <w:r w:rsidRPr="00B26F8B">
        <w:t>Onderzoek</w:t>
      </w:r>
      <w:r w:rsidR="00F74E1C" w:rsidRPr="00B26F8B">
        <w:t>/spoor</w:t>
      </w:r>
      <w:r w:rsidRPr="00B26F8B">
        <w:t xml:space="preserve"> 3</w:t>
      </w:r>
    </w:p>
    <w:p w:rsidR="00186BB1" w:rsidRPr="00B26F8B" w:rsidRDefault="00140307" w:rsidP="00315D89">
      <w:pPr>
        <w:pStyle w:val="Lijstalinea"/>
        <w:numPr>
          <w:ilvl w:val="1"/>
          <w:numId w:val="15"/>
        </w:numPr>
        <w:spacing w:line="240" w:lineRule="atLeast"/>
        <w:contextualSpacing/>
      </w:pPr>
      <w:r w:rsidRPr="00B26F8B">
        <w:t>Looptijd onderzoek januari – juni</w:t>
      </w:r>
    </w:p>
    <w:p w:rsidR="0059691B" w:rsidRPr="00B26F8B" w:rsidRDefault="0059691B" w:rsidP="00D513CE">
      <w:pPr>
        <w:spacing w:line="240" w:lineRule="atLeast"/>
        <w:contextualSpacing/>
      </w:pPr>
    </w:p>
    <w:p w:rsidR="00186BB1" w:rsidRPr="00B26F8B" w:rsidRDefault="00140307" w:rsidP="00D513CE">
      <w:pPr>
        <w:spacing w:line="240" w:lineRule="atLeast"/>
        <w:contextualSpacing/>
      </w:pPr>
      <w:r w:rsidRPr="00B26F8B">
        <w:t>Duiding gegevens en conclusies:</w:t>
      </w:r>
    </w:p>
    <w:p w:rsidR="00186BB1" w:rsidRPr="00B26F8B" w:rsidRDefault="00140307" w:rsidP="00B26F8B">
      <w:pPr>
        <w:pStyle w:val="Lijstalinea"/>
        <w:numPr>
          <w:ilvl w:val="1"/>
          <w:numId w:val="15"/>
        </w:numPr>
        <w:spacing w:line="240" w:lineRule="atLeast"/>
        <w:contextualSpacing/>
      </w:pPr>
      <w:r w:rsidRPr="00B26F8B">
        <w:t>Najaar: bespreken duiding onderzoeksresultaten</w:t>
      </w:r>
    </w:p>
    <w:p w:rsidR="00186BB1" w:rsidRPr="00B26F8B" w:rsidRDefault="00140307" w:rsidP="00B26F8B">
      <w:pPr>
        <w:pStyle w:val="Lijstalinea"/>
        <w:numPr>
          <w:ilvl w:val="1"/>
          <w:numId w:val="15"/>
        </w:numPr>
        <w:spacing w:line="240" w:lineRule="atLeast"/>
        <w:contextualSpacing/>
      </w:pPr>
      <w:r w:rsidRPr="00B26F8B">
        <w:t>Najaar: bespreken concept-conclusies</w:t>
      </w:r>
    </w:p>
    <w:p w:rsidR="00186BB1" w:rsidRPr="00B26F8B" w:rsidRDefault="00140307" w:rsidP="00B26F8B">
      <w:pPr>
        <w:pStyle w:val="Lijstalinea"/>
        <w:numPr>
          <w:ilvl w:val="1"/>
          <w:numId w:val="15"/>
        </w:numPr>
        <w:spacing w:line="240" w:lineRule="atLeast"/>
        <w:contextualSpacing/>
      </w:pPr>
      <w:r w:rsidRPr="00B26F8B">
        <w:t xml:space="preserve">Dit vindt plaats aan de hand van </w:t>
      </w:r>
      <w:r w:rsidR="00F74E1C" w:rsidRPr="00B26F8B">
        <w:t xml:space="preserve">de </w:t>
      </w:r>
      <w:r w:rsidRPr="00B26F8B">
        <w:t xml:space="preserve">beschikbare gegevens </w:t>
      </w:r>
      <w:r w:rsidR="00F74E1C" w:rsidRPr="00B26F8B">
        <w:t xml:space="preserve">uit alle onderzoeken </w:t>
      </w:r>
      <w:r w:rsidRPr="00B26F8B">
        <w:t xml:space="preserve">en is dus </w:t>
      </w:r>
      <w:r w:rsidR="00F74E1C" w:rsidRPr="00B26F8B">
        <w:t xml:space="preserve">qua timing </w:t>
      </w:r>
      <w:r w:rsidRPr="00B26F8B">
        <w:t>vooral afhankelijk van onderzoek 1.</w:t>
      </w:r>
    </w:p>
    <w:p w:rsidR="00186BB1" w:rsidRPr="00B26F8B" w:rsidRDefault="00140307" w:rsidP="00B26F8B">
      <w:pPr>
        <w:pStyle w:val="Lijstalinea"/>
        <w:numPr>
          <w:ilvl w:val="1"/>
          <w:numId w:val="15"/>
        </w:numPr>
        <w:spacing w:line="240" w:lineRule="atLeast"/>
        <w:contextualSpacing/>
      </w:pPr>
      <w:r w:rsidRPr="00B26F8B">
        <w:t xml:space="preserve">Najaar: verzending beleidsbrief en onderzoeken aan de Kamer. </w:t>
      </w:r>
    </w:p>
    <w:p w:rsidR="00186BB1" w:rsidRPr="00B26F8B" w:rsidRDefault="00186BB1" w:rsidP="00B26F8B">
      <w:pPr>
        <w:spacing w:line="240" w:lineRule="atLeast"/>
        <w:contextualSpacing/>
      </w:pPr>
    </w:p>
    <w:p w:rsidR="00186BB1" w:rsidRPr="00B26F8B" w:rsidRDefault="00140307" w:rsidP="00B26F8B">
      <w:pPr>
        <w:spacing w:line="240" w:lineRule="atLeast"/>
        <w:contextualSpacing/>
        <w:rPr>
          <w:i/>
        </w:rPr>
      </w:pPr>
      <w:r w:rsidRPr="00B26F8B">
        <w:rPr>
          <w:i/>
        </w:rPr>
        <w:t>Overlegmomenten</w:t>
      </w:r>
    </w:p>
    <w:p w:rsidR="00186BB1" w:rsidRPr="00B26F8B" w:rsidRDefault="00140307" w:rsidP="00B26F8B">
      <w:pPr>
        <w:spacing w:line="240" w:lineRule="atLeast"/>
        <w:contextualSpacing/>
      </w:pPr>
      <w:r w:rsidRPr="00B26F8B">
        <w:t>Januari</w:t>
      </w:r>
      <w:r w:rsidRPr="00B26F8B">
        <w:tab/>
      </w:r>
      <w:r w:rsidRPr="00B26F8B">
        <w:tab/>
        <w:t>bijeenkomst 1</w:t>
      </w:r>
      <w:r w:rsidRPr="00B26F8B">
        <w:tab/>
      </w:r>
      <w:r w:rsidRPr="00B26F8B">
        <w:tab/>
      </w:r>
      <w:r w:rsidR="0059691B" w:rsidRPr="00B26F8B">
        <w:t xml:space="preserve">toelichten </w:t>
      </w:r>
      <w:r w:rsidRPr="00B26F8B">
        <w:t>opzet en</w:t>
      </w:r>
      <w:r w:rsidR="0059691B" w:rsidRPr="00B26F8B">
        <w:t xml:space="preserve"> bespreken</w:t>
      </w:r>
      <w:r w:rsidRPr="00B26F8B">
        <w:t xml:space="preserve"> nadere invulling</w:t>
      </w:r>
    </w:p>
    <w:p w:rsidR="00186BB1" w:rsidRPr="00B26F8B" w:rsidRDefault="00140307" w:rsidP="00B26F8B">
      <w:pPr>
        <w:spacing w:line="240" w:lineRule="atLeast"/>
        <w:contextualSpacing/>
      </w:pPr>
      <w:r w:rsidRPr="00B26F8B">
        <w:t>Maart</w:t>
      </w:r>
      <w:r w:rsidRPr="00B26F8B">
        <w:tab/>
      </w:r>
      <w:r w:rsidRPr="00B26F8B">
        <w:tab/>
        <w:t>bijeenkomst 2</w:t>
      </w:r>
      <w:r w:rsidRPr="00B26F8B">
        <w:tab/>
      </w:r>
      <w:r w:rsidRPr="00B26F8B">
        <w:tab/>
        <w:t xml:space="preserve">bespreken tussentijdse onderzoeksresultaten </w:t>
      </w:r>
    </w:p>
    <w:p w:rsidR="00186BB1" w:rsidRPr="00B26F8B" w:rsidRDefault="00140307" w:rsidP="00B26F8B">
      <w:pPr>
        <w:spacing w:line="240" w:lineRule="atLeast"/>
        <w:contextualSpacing/>
      </w:pPr>
      <w:r w:rsidRPr="00B26F8B">
        <w:t xml:space="preserve">Juli </w:t>
      </w:r>
      <w:r w:rsidRPr="00B26F8B">
        <w:tab/>
      </w:r>
      <w:r w:rsidRPr="00B26F8B">
        <w:tab/>
        <w:t>bijeenkomst 3</w:t>
      </w:r>
      <w:r w:rsidRPr="00B26F8B">
        <w:tab/>
      </w:r>
      <w:r w:rsidRPr="00B26F8B">
        <w:tab/>
        <w:t>bespreken uitkomsten onderzoeken 2 en 3</w:t>
      </w:r>
    </w:p>
    <w:p w:rsidR="00186BB1" w:rsidRPr="00B26F8B" w:rsidRDefault="00140307" w:rsidP="00B26F8B">
      <w:pPr>
        <w:spacing w:line="240" w:lineRule="atLeast"/>
        <w:contextualSpacing/>
      </w:pPr>
      <w:r w:rsidRPr="00B26F8B">
        <w:t>najaar</w:t>
      </w:r>
      <w:r w:rsidRPr="00B26F8B">
        <w:tab/>
      </w:r>
      <w:r w:rsidRPr="00B26F8B">
        <w:tab/>
        <w:t>bijeenkomst 4</w:t>
      </w:r>
      <w:r w:rsidRPr="00B26F8B">
        <w:tab/>
      </w:r>
      <w:r w:rsidRPr="00B26F8B">
        <w:tab/>
        <w:t>bespreken uitkomsten totaalpakket en eerste duiding</w:t>
      </w:r>
    </w:p>
    <w:p w:rsidR="00186BB1" w:rsidRPr="00B26F8B" w:rsidRDefault="00140307" w:rsidP="00B26F8B">
      <w:pPr>
        <w:spacing w:line="240" w:lineRule="atLeast"/>
        <w:contextualSpacing/>
      </w:pPr>
      <w:r w:rsidRPr="00B26F8B">
        <w:t>najaar</w:t>
      </w:r>
      <w:r w:rsidRPr="00B26F8B">
        <w:tab/>
      </w:r>
      <w:r w:rsidRPr="00B26F8B">
        <w:tab/>
        <w:t>bijeenkomst 5</w:t>
      </w:r>
      <w:r w:rsidRPr="00B26F8B">
        <w:tab/>
      </w:r>
      <w:r w:rsidRPr="00B26F8B">
        <w:tab/>
        <w:t>bespreken duiding/conclusies</w:t>
      </w:r>
    </w:p>
    <w:p w:rsidR="00186BB1" w:rsidRPr="00B26F8B" w:rsidRDefault="00140307" w:rsidP="00B26F8B">
      <w:pPr>
        <w:spacing w:line="240" w:lineRule="atLeast"/>
        <w:contextualSpacing/>
      </w:pPr>
      <w:r w:rsidRPr="00B26F8B">
        <w:t>najaar</w:t>
      </w:r>
      <w:r w:rsidRPr="00B26F8B">
        <w:tab/>
      </w:r>
      <w:r w:rsidRPr="00B26F8B">
        <w:tab/>
        <w:t>bijeenkomst 6</w:t>
      </w:r>
      <w:r w:rsidRPr="00B26F8B">
        <w:tab/>
      </w:r>
      <w:r w:rsidRPr="00B26F8B">
        <w:tab/>
        <w:t>reserve</w:t>
      </w:r>
      <w:r w:rsidRPr="00315D89">
        <w:br w:type="page"/>
      </w:r>
    </w:p>
    <w:p w:rsidR="0059691B" w:rsidRPr="00812D33" w:rsidRDefault="0059691B" w:rsidP="00B26F8B">
      <w:pPr>
        <w:spacing w:line="240" w:lineRule="atLeast"/>
        <w:contextualSpacing/>
        <w:rPr>
          <w:b/>
          <w:sz w:val="20"/>
          <w:szCs w:val="20"/>
        </w:rPr>
      </w:pPr>
      <w:r w:rsidRPr="00812D33">
        <w:rPr>
          <w:b/>
          <w:sz w:val="20"/>
          <w:szCs w:val="20"/>
        </w:rPr>
        <w:lastRenderedPageBreak/>
        <w:t>Nadere uitwerking sporen 1,2 en 3</w:t>
      </w:r>
    </w:p>
    <w:p w:rsidR="0059691B" w:rsidRPr="00B26F8B" w:rsidRDefault="0059691B" w:rsidP="00B26F8B">
      <w:pPr>
        <w:spacing w:line="240" w:lineRule="atLeast"/>
        <w:contextualSpacing/>
        <w:rPr>
          <w:b/>
        </w:rPr>
      </w:pPr>
    </w:p>
    <w:p w:rsidR="00186BB1" w:rsidRPr="00B26F8B" w:rsidRDefault="00140307" w:rsidP="00B26F8B">
      <w:pPr>
        <w:spacing w:line="240" w:lineRule="atLeast"/>
        <w:contextualSpacing/>
        <w:rPr>
          <w:b/>
        </w:rPr>
      </w:pPr>
      <w:r w:rsidRPr="00B26F8B">
        <w:rPr>
          <w:b/>
        </w:rPr>
        <w:t>Spoor 1</w:t>
      </w:r>
    </w:p>
    <w:p w:rsidR="00315D89" w:rsidRDefault="00315D89" w:rsidP="00B26F8B">
      <w:pPr>
        <w:spacing w:line="240" w:lineRule="atLeast"/>
        <w:contextualSpacing/>
        <w:rPr>
          <w:i/>
        </w:rPr>
      </w:pPr>
    </w:p>
    <w:p w:rsidR="00186BB1" w:rsidRPr="00B26F8B" w:rsidRDefault="00140307" w:rsidP="00B26F8B">
      <w:pPr>
        <w:spacing w:line="240" w:lineRule="atLeast"/>
        <w:contextualSpacing/>
        <w:rPr>
          <w:i/>
        </w:rPr>
      </w:pPr>
      <w:r w:rsidRPr="00B26F8B">
        <w:rPr>
          <w:i/>
        </w:rPr>
        <w:t>Opbouw van het rapport</w:t>
      </w:r>
    </w:p>
    <w:p w:rsidR="00186BB1" w:rsidRPr="00B26F8B" w:rsidRDefault="00140307" w:rsidP="00B26F8B">
      <w:pPr>
        <w:spacing w:line="240" w:lineRule="atLeast"/>
        <w:contextualSpacing/>
      </w:pPr>
      <w:r w:rsidRPr="00B26F8B">
        <w:t xml:space="preserve">Het rapport zal een feitelijke, cijfermatige weergave van ontwikkelingen geven die zich hebben voorgedaan ten aanzien van de hoofddoelen van de herziening van de Woningwet. Daartoe zal waar mogelijk de situatie in 2014, het laatste volledige jaar voor inwerkingtreding van de wet, vergeleken met de situatie in 2017, het tweede kalenderjaar na inwerkingtreding van de wet. Een aanzienlijk deel van de in het rapport te presenteren informatie wordt opgehaald uit de </w:t>
      </w:r>
      <w:proofErr w:type="spellStart"/>
      <w:r w:rsidRPr="00B26F8B">
        <w:t>dVi</w:t>
      </w:r>
      <w:proofErr w:type="spellEnd"/>
      <w:r w:rsidRPr="00B26F8B">
        <w:t xml:space="preserve"> en </w:t>
      </w:r>
      <w:proofErr w:type="spellStart"/>
      <w:r w:rsidRPr="00B26F8B">
        <w:t>dPi</w:t>
      </w:r>
      <w:proofErr w:type="spellEnd"/>
      <w:r w:rsidRPr="00B26F8B">
        <w:t>. Voor het overige wordt informatie gebundeld uit reguliere onderzoeken en informatie, zoals de analyse prestatieafspraken en informatie die beschikbaar is bij de Autoriteit Woningcorporaties. Het rapport zal een analyse bevatten van de ontwikkelingen, maar geen waardeoordeel over die ontwikkelingen. Ook wordt met dit rapport niet beoogd alle effecten van de afzonderlijke maatregelen uit de Herzieningswet in kaart te brengen. Hieronder volt een overzicht met de informatie die in het rapport wordt opgenomen. In bijlage 1 wordt d</w:t>
      </w:r>
      <w:r w:rsidR="00F74E1C" w:rsidRPr="00B26F8B">
        <w:t>i</w:t>
      </w:r>
      <w:r w:rsidRPr="00B26F8B">
        <w:t>t nader toegelicht.</w:t>
      </w:r>
    </w:p>
    <w:p w:rsidR="00186BB1" w:rsidRPr="00B26F8B" w:rsidRDefault="00186BB1" w:rsidP="00B26F8B">
      <w:pPr>
        <w:spacing w:line="240" w:lineRule="atLeast"/>
        <w:contextualSpacing/>
      </w:pPr>
    </w:p>
    <w:p w:rsidR="00186BB1" w:rsidRPr="00B26F8B" w:rsidRDefault="00140307" w:rsidP="00315D89">
      <w:pPr>
        <w:pStyle w:val="Lijstalinea"/>
        <w:numPr>
          <w:ilvl w:val="0"/>
          <w:numId w:val="1"/>
        </w:numPr>
        <w:spacing w:line="240" w:lineRule="atLeast"/>
        <w:ind w:left="360"/>
        <w:contextualSpacing/>
      </w:pPr>
      <w:r w:rsidRPr="00B26F8B">
        <w:t>Terug naar de kerntaak</w:t>
      </w:r>
    </w:p>
    <w:p w:rsidR="00186BB1" w:rsidRPr="00B26F8B" w:rsidRDefault="00140307" w:rsidP="00315D89">
      <w:pPr>
        <w:pStyle w:val="Lijstalinea"/>
        <w:numPr>
          <w:ilvl w:val="0"/>
          <w:numId w:val="2"/>
        </w:numPr>
        <w:spacing w:line="240" w:lineRule="atLeast"/>
        <w:ind w:left="360"/>
        <w:contextualSpacing/>
      </w:pPr>
      <w:r w:rsidRPr="00B26F8B">
        <w:t>Woningvoorraad</w:t>
      </w:r>
    </w:p>
    <w:p w:rsidR="00186BB1" w:rsidRPr="00B26F8B" w:rsidRDefault="00140307" w:rsidP="00315D89">
      <w:pPr>
        <w:pStyle w:val="Lijstalinea"/>
        <w:numPr>
          <w:ilvl w:val="1"/>
          <w:numId w:val="2"/>
        </w:numPr>
        <w:spacing w:line="240" w:lineRule="atLeast"/>
        <w:ind w:left="1080"/>
        <w:contextualSpacing/>
      </w:pPr>
      <w:r w:rsidRPr="00B26F8B">
        <w:t>De ontwikkeling van zelfstandige en onzelfstandige woongelegenheden en nieuwbouw per prijsklasse - goedkoop (huur tot de kwaliteitskortingsgrens), betaalbaar (huur tussen de kwaliteitskortingsgrens en de aftoppingsgrens), duur tot liberalisatiegrens (huur tussen de aftoppingsgrens en de liberalisatiegrens) en duur boven liberalisatiegrens. Eventueel ingezoomd naar regio’s.</w:t>
      </w:r>
    </w:p>
    <w:p w:rsidR="00186BB1" w:rsidRPr="00B26F8B" w:rsidRDefault="00140307" w:rsidP="00315D89">
      <w:pPr>
        <w:pStyle w:val="Lijstalinea"/>
        <w:numPr>
          <w:ilvl w:val="0"/>
          <w:numId w:val="2"/>
        </w:numPr>
        <w:spacing w:line="240" w:lineRule="atLeast"/>
        <w:ind w:left="360"/>
        <w:contextualSpacing/>
      </w:pPr>
      <w:r w:rsidRPr="00B26F8B">
        <w:t>Passend toewijzen</w:t>
      </w:r>
    </w:p>
    <w:p w:rsidR="00186BB1" w:rsidRPr="00B26F8B" w:rsidRDefault="00140307" w:rsidP="00315D89">
      <w:pPr>
        <w:pStyle w:val="Lijstalinea"/>
        <w:numPr>
          <w:ilvl w:val="1"/>
          <w:numId w:val="2"/>
        </w:numPr>
        <w:spacing w:line="240" w:lineRule="atLeast"/>
        <w:ind w:left="1080"/>
        <w:contextualSpacing/>
      </w:pPr>
      <w:r w:rsidRPr="00B26F8B">
        <w:t xml:space="preserve">De ontwikkeling in het aandeel toewijzingen aan de huurtoeslagdoelgroep ten opzichte van het totaal aantal toewijzingen, met andere woorden, welk percentage van de woningen is aan de huurtoeslagdoelgroep toegewezen. </w:t>
      </w:r>
    </w:p>
    <w:p w:rsidR="00186BB1" w:rsidRPr="00B26F8B" w:rsidRDefault="00140307" w:rsidP="00315D89">
      <w:pPr>
        <w:pStyle w:val="Lijstalinea"/>
        <w:numPr>
          <w:ilvl w:val="1"/>
          <w:numId w:val="2"/>
        </w:numPr>
        <w:spacing w:line="240" w:lineRule="atLeast"/>
        <w:ind w:left="1080"/>
        <w:contextualSpacing/>
      </w:pPr>
      <w:r w:rsidRPr="00B26F8B">
        <w:t>En de ontwikkeling in het percentage van deze toewijzingen aan de huurtoeslagdoelgroep dat passend was.</w:t>
      </w:r>
    </w:p>
    <w:p w:rsidR="00186BB1" w:rsidRPr="00B26F8B" w:rsidRDefault="00140307" w:rsidP="00315D89">
      <w:pPr>
        <w:pStyle w:val="Lijstalinea"/>
        <w:numPr>
          <w:ilvl w:val="1"/>
          <w:numId w:val="25"/>
        </w:numPr>
        <w:spacing w:line="240" w:lineRule="atLeast"/>
        <w:ind w:left="1080"/>
        <w:contextualSpacing/>
      </w:pPr>
      <w:r w:rsidRPr="00B26F8B">
        <w:t xml:space="preserve">De ontwikkeling in het aantal goedkope en dure </w:t>
      </w:r>
      <w:proofErr w:type="spellStart"/>
      <w:r w:rsidRPr="00B26F8B">
        <w:t>scheefwoners</w:t>
      </w:r>
      <w:proofErr w:type="spellEnd"/>
      <w:r w:rsidRPr="00B26F8B">
        <w:t>.</w:t>
      </w:r>
    </w:p>
    <w:p w:rsidR="00186BB1" w:rsidRPr="00B26F8B" w:rsidRDefault="00140307" w:rsidP="00315D89">
      <w:pPr>
        <w:pStyle w:val="Lijstalinea"/>
        <w:numPr>
          <w:ilvl w:val="0"/>
          <w:numId w:val="2"/>
        </w:numPr>
        <w:spacing w:line="240" w:lineRule="atLeast"/>
        <w:ind w:left="360"/>
        <w:contextualSpacing/>
      </w:pPr>
      <w:r w:rsidRPr="00B26F8B">
        <w:t>Toewijzen naar inkomensgrenzen</w:t>
      </w:r>
    </w:p>
    <w:p w:rsidR="00186BB1" w:rsidRPr="00B26F8B" w:rsidRDefault="00140307" w:rsidP="00315D89">
      <w:pPr>
        <w:pStyle w:val="Lijstalinea"/>
        <w:numPr>
          <w:ilvl w:val="1"/>
          <w:numId w:val="2"/>
        </w:numPr>
        <w:spacing w:line="240" w:lineRule="atLeast"/>
        <w:ind w:left="1080"/>
        <w:contextualSpacing/>
      </w:pPr>
      <w:r w:rsidRPr="00B26F8B">
        <w:t>De ontwikkeling in de verdeling in toewijzing naar de verschillende inkomensgrenzen.</w:t>
      </w:r>
    </w:p>
    <w:p w:rsidR="00186BB1" w:rsidRPr="00B26F8B" w:rsidRDefault="00140307" w:rsidP="00315D89">
      <w:pPr>
        <w:pStyle w:val="Lijstalinea"/>
        <w:numPr>
          <w:ilvl w:val="0"/>
          <w:numId w:val="2"/>
        </w:numPr>
        <w:spacing w:line="240" w:lineRule="atLeast"/>
        <w:ind w:left="360"/>
        <w:contextualSpacing/>
      </w:pPr>
      <w:r w:rsidRPr="00B26F8B">
        <w:t>Leefbaarheid</w:t>
      </w:r>
    </w:p>
    <w:p w:rsidR="00186BB1" w:rsidRPr="00B26F8B" w:rsidRDefault="00140307" w:rsidP="00315D89">
      <w:pPr>
        <w:pStyle w:val="Lijstalinea"/>
        <w:numPr>
          <w:ilvl w:val="1"/>
          <w:numId w:val="2"/>
        </w:numPr>
        <w:spacing w:line="240" w:lineRule="atLeast"/>
        <w:ind w:left="1080"/>
        <w:contextualSpacing/>
      </w:pPr>
      <w:r w:rsidRPr="00B26F8B">
        <w:t>De ontwikkeling op de totale en gemiddelde leefbaarheid</w:t>
      </w:r>
      <w:r w:rsidR="008A783A">
        <w:t>s</w:t>
      </w:r>
      <w:r w:rsidRPr="00B26F8B">
        <w:t xml:space="preserve">uitgaven van corporaties ten behoeve van </w:t>
      </w:r>
      <w:proofErr w:type="spellStart"/>
      <w:r w:rsidRPr="00B26F8B">
        <w:t>D</w:t>
      </w:r>
      <w:r w:rsidR="00F74E1C" w:rsidRPr="00B26F8B">
        <w:t>aeb</w:t>
      </w:r>
      <w:proofErr w:type="spellEnd"/>
      <w:r w:rsidRPr="00B26F8B">
        <w:t xml:space="preserve">-woongelegenheden. </w:t>
      </w:r>
    </w:p>
    <w:p w:rsidR="00186BB1" w:rsidRPr="00B26F8B" w:rsidRDefault="00140307" w:rsidP="00D513CE">
      <w:pPr>
        <w:pStyle w:val="Lijstalinea"/>
        <w:numPr>
          <w:ilvl w:val="1"/>
          <w:numId w:val="2"/>
        </w:numPr>
        <w:spacing w:line="240" w:lineRule="atLeast"/>
        <w:ind w:left="1080"/>
        <w:contextualSpacing/>
      </w:pPr>
      <w:r w:rsidRPr="00B26F8B">
        <w:t>Of prestatieafspraken zijn gemaakt over het bedrag.</w:t>
      </w:r>
    </w:p>
    <w:p w:rsidR="00186BB1" w:rsidRPr="00B26F8B" w:rsidRDefault="00140307" w:rsidP="00D513CE">
      <w:pPr>
        <w:pStyle w:val="Lijstalinea"/>
        <w:numPr>
          <w:ilvl w:val="0"/>
          <w:numId w:val="2"/>
        </w:numPr>
        <w:spacing w:line="240" w:lineRule="atLeast"/>
        <w:ind w:left="360"/>
        <w:contextualSpacing/>
      </w:pPr>
      <w:r w:rsidRPr="00B26F8B">
        <w:t>Voorraad overig vastgoed</w:t>
      </w:r>
    </w:p>
    <w:p w:rsidR="00186BB1" w:rsidRPr="00B26F8B" w:rsidRDefault="008A783A" w:rsidP="00B26F8B">
      <w:pPr>
        <w:pStyle w:val="Lijstalinea"/>
        <w:numPr>
          <w:ilvl w:val="1"/>
          <w:numId w:val="2"/>
        </w:numPr>
        <w:spacing w:line="240" w:lineRule="atLeast"/>
        <w:ind w:left="1080"/>
        <w:contextualSpacing/>
      </w:pPr>
      <w:r>
        <w:t>D</w:t>
      </w:r>
      <w:r w:rsidR="00140307" w:rsidRPr="00B26F8B">
        <w:t>e ontwikkeling van de omvang, in aantal en oppervlakte van bedrijfsruimte en overig bezit.</w:t>
      </w:r>
    </w:p>
    <w:p w:rsidR="00186BB1" w:rsidRPr="00B26F8B" w:rsidRDefault="00140307" w:rsidP="00B26F8B">
      <w:pPr>
        <w:pStyle w:val="Lijstalinea"/>
        <w:numPr>
          <w:ilvl w:val="1"/>
          <w:numId w:val="2"/>
        </w:numPr>
        <w:spacing w:line="240" w:lineRule="atLeast"/>
        <w:ind w:left="1080"/>
        <w:contextualSpacing/>
      </w:pPr>
      <w:r w:rsidRPr="00B26F8B">
        <w:t>De investeringen in maatschappelijk vastgoed en overig vastgoed.</w:t>
      </w:r>
    </w:p>
    <w:p w:rsidR="00186BB1" w:rsidRPr="00B26F8B" w:rsidRDefault="00140307" w:rsidP="00B26F8B">
      <w:pPr>
        <w:pStyle w:val="Lijstalinea"/>
        <w:numPr>
          <w:ilvl w:val="0"/>
          <w:numId w:val="2"/>
        </w:numPr>
        <w:spacing w:line="240" w:lineRule="atLeast"/>
        <w:ind w:left="360"/>
        <w:contextualSpacing/>
      </w:pPr>
      <w:r w:rsidRPr="00B26F8B">
        <w:t>Verbindingen</w:t>
      </w:r>
    </w:p>
    <w:p w:rsidR="00186BB1" w:rsidRPr="00B26F8B" w:rsidRDefault="00140307" w:rsidP="00B26F8B">
      <w:pPr>
        <w:pStyle w:val="Lijstalinea"/>
        <w:numPr>
          <w:ilvl w:val="1"/>
          <w:numId w:val="2"/>
        </w:numPr>
        <w:spacing w:line="240" w:lineRule="atLeast"/>
        <w:ind w:left="1080"/>
        <w:contextualSpacing/>
      </w:pPr>
      <w:r w:rsidRPr="00B26F8B">
        <w:t>De ontwikkeling in activiteiten van verbonden ondernemingen en de rechtsvorm</w:t>
      </w:r>
      <w:r w:rsidR="008A783A">
        <w:t>.</w:t>
      </w:r>
    </w:p>
    <w:p w:rsidR="00186BB1" w:rsidRPr="00B26F8B" w:rsidRDefault="00140307" w:rsidP="00B26F8B">
      <w:pPr>
        <w:pStyle w:val="Lijstalinea"/>
        <w:numPr>
          <w:ilvl w:val="1"/>
          <w:numId w:val="2"/>
        </w:numPr>
        <w:spacing w:line="240" w:lineRule="atLeast"/>
        <w:ind w:left="1080"/>
        <w:contextualSpacing/>
      </w:pPr>
      <w:r w:rsidRPr="00B26F8B">
        <w:t>De ontwikkeling in de omvang van de deelnemingen op de balans van corporaties</w:t>
      </w:r>
      <w:r w:rsidR="008A783A">
        <w:t>.</w:t>
      </w:r>
    </w:p>
    <w:p w:rsidR="00186BB1" w:rsidRPr="00B26F8B" w:rsidRDefault="00140307" w:rsidP="00B26F8B">
      <w:pPr>
        <w:pStyle w:val="Lijstalinea"/>
        <w:spacing w:line="240" w:lineRule="atLeast"/>
        <w:ind w:left="360"/>
        <w:contextualSpacing/>
      </w:pPr>
      <w:r w:rsidRPr="00B26F8B">
        <w:t xml:space="preserve">  </w:t>
      </w:r>
    </w:p>
    <w:p w:rsidR="00186BB1" w:rsidRPr="00B26F8B" w:rsidRDefault="00140307" w:rsidP="00B26F8B">
      <w:pPr>
        <w:pStyle w:val="Lijstalinea"/>
        <w:numPr>
          <w:ilvl w:val="0"/>
          <w:numId w:val="1"/>
        </w:numPr>
        <w:spacing w:line="240" w:lineRule="atLeast"/>
        <w:ind w:left="360"/>
        <w:contextualSpacing/>
      </w:pPr>
      <w:r w:rsidRPr="00B26F8B">
        <w:t>Versterking positie gemeenten en huurdersorganisaties</w:t>
      </w:r>
    </w:p>
    <w:p w:rsidR="00186BB1" w:rsidRPr="00B26F8B" w:rsidRDefault="00140307" w:rsidP="00B26F8B">
      <w:pPr>
        <w:pStyle w:val="Lijstalinea"/>
        <w:numPr>
          <w:ilvl w:val="0"/>
          <w:numId w:val="3"/>
        </w:numPr>
        <w:spacing w:line="240" w:lineRule="atLeast"/>
        <w:ind w:left="360"/>
        <w:contextualSpacing/>
      </w:pPr>
      <w:r w:rsidRPr="00B26F8B">
        <w:t>Woonvisies</w:t>
      </w:r>
    </w:p>
    <w:p w:rsidR="00186BB1" w:rsidRPr="00B26F8B" w:rsidRDefault="00140307" w:rsidP="00B26F8B">
      <w:pPr>
        <w:pStyle w:val="Lijstalinea"/>
        <w:numPr>
          <w:ilvl w:val="1"/>
          <w:numId w:val="3"/>
        </w:numPr>
        <w:spacing w:line="240" w:lineRule="atLeast"/>
        <w:ind w:left="1080"/>
        <w:contextualSpacing/>
      </w:pPr>
      <w:r w:rsidRPr="00B26F8B">
        <w:t>De ontwikkeling in het aantal vastgestelde woonvisies.</w:t>
      </w:r>
    </w:p>
    <w:p w:rsidR="00186BB1" w:rsidRPr="00B26F8B" w:rsidRDefault="00140307" w:rsidP="00B26F8B">
      <w:pPr>
        <w:pStyle w:val="Lijstalinea"/>
        <w:numPr>
          <w:ilvl w:val="1"/>
          <w:numId w:val="3"/>
        </w:numPr>
        <w:spacing w:line="240" w:lineRule="atLeast"/>
        <w:ind w:left="1080"/>
        <w:contextualSpacing/>
      </w:pPr>
      <w:r w:rsidRPr="00B26F8B">
        <w:t>De ontwikkeling in de mate van concreetheid van de woonvisies.</w:t>
      </w:r>
    </w:p>
    <w:p w:rsidR="00186BB1" w:rsidRPr="00B26F8B" w:rsidRDefault="00140307" w:rsidP="00B26F8B">
      <w:pPr>
        <w:pStyle w:val="Lijstalinea"/>
        <w:numPr>
          <w:ilvl w:val="0"/>
          <w:numId w:val="3"/>
        </w:numPr>
        <w:spacing w:line="240" w:lineRule="atLeast"/>
        <w:ind w:left="360"/>
        <w:contextualSpacing/>
      </w:pPr>
      <w:r w:rsidRPr="00B26F8B">
        <w:t>Prestatieafspraken</w:t>
      </w:r>
    </w:p>
    <w:p w:rsidR="00186BB1" w:rsidRPr="00B26F8B" w:rsidRDefault="00140307" w:rsidP="00B26F8B">
      <w:pPr>
        <w:pStyle w:val="Lijstalinea"/>
        <w:numPr>
          <w:ilvl w:val="1"/>
          <w:numId w:val="3"/>
        </w:numPr>
        <w:spacing w:line="240" w:lineRule="atLeast"/>
        <w:ind w:left="1080"/>
        <w:contextualSpacing/>
      </w:pPr>
      <w:r w:rsidRPr="00B26F8B">
        <w:t>De ontwikkeling in het aantal gemaakte prestatieafspraken</w:t>
      </w:r>
      <w:r w:rsidR="008A783A">
        <w:t>.</w:t>
      </w:r>
    </w:p>
    <w:p w:rsidR="00186BB1" w:rsidRPr="00B26F8B" w:rsidRDefault="00140307" w:rsidP="00B26F8B">
      <w:pPr>
        <w:pStyle w:val="Lijstalinea"/>
        <w:numPr>
          <w:ilvl w:val="1"/>
          <w:numId w:val="3"/>
        </w:numPr>
        <w:spacing w:line="240" w:lineRule="atLeast"/>
        <w:ind w:left="1080"/>
        <w:contextualSpacing/>
      </w:pPr>
      <w:r w:rsidRPr="00B26F8B">
        <w:t>De ontwikkeling in het aantal geldende prestatieafspraken, bezien vanuit gemeenten, corporaties en huurdersorganisaties.</w:t>
      </w:r>
    </w:p>
    <w:p w:rsidR="00186BB1" w:rsidRPr="00B26F8B" w:rsidRDefault="00140307" w:rsidP="00B26F8B">
      <w:pPr>
        <w:pStyle w:val="Lijstalinea"/>
        <w:numPr>
          <w:ilvl w:val="1"/>
          <w:numId w:val="3"/>
        </w:numPr>
        <w:spacing w:line="240" w:lineRule="atLeast"/>
        <w:ind w:left="1080"/>
        <w:contextualSpacing/>
      </w:pPr>
      <w:r w:rsidRPr="00B26F8B">
        <w:lastRenderedPageBreak/>
        <w:t xml:space="preserve">De ontwikkeling in de mate van concreetheid van de afspraken. </w:t>
      </w:r>
    </w:p>
    <w:p w:rsidR="00186BB1" w:rsidRPr="00B26F8B" w:rsidRDefault="00140307" w:rsidP="00B26F8B">
      <w:pPr>
        <w:pStyle w:val="Lijstalinea"/>
        <w:numPr>
          <w:ilvl w:val="1"/>
          <w:numId w:val="3"/>
        </w:numPr>
        <w:spacing w:line="240" w:lineRule="atLeast"/>
        <w:ind w:left="1080"/>
        <w:contextualSpacing/>
      </w:pPr>
      <w:r w:rsidRPr="00B26F8B">
        <w:t>Type corporatiebezit waarover afspraken zijn gemaakt.</w:t>
      </w:r>
    </w:p>
    <w:p w:rsidR="00186BB1" w:rsidRPr="00B26F8B" w:rsidRDefault="00140307" w:rsidP="00B26F8B">
      <w:pPr>
        <w:pStyle w:val="Lijstalinea"/>
        <w:numPr>
          <w:ilvl w:val="1"/>
          <w:numId w:val="3"/>
        </w:numPr>
        <w:spacing w:line="240" w:lineRule="atLeast"/>
        <w:ind w:left="1080"/>
        <w:contextualSpacing/>
      </w:pPr>
      <w:r w:rsidRPr="00B26F8B">
        <w:t>Wordt de IBW gebruikt door gemeente en huurders om het bod te toetsen.</w:t>
      </w:r>
    </w:p>
    <w:p w:rsidR="00186BB1" w:rsidRPr="00B26F8B" w:rsidRDefault="00140307" w:rsidP="00B26F8B">
      <w:pPr>
        <w:pStyle w:val="Lijstalinea"/>
        <w:numPr>
          <w:ilvl w:val="0"/>
          <w:numId w:val="3"/>
        </w:numPr>
        <w:spacing w:line="240" w:lineRule="atLeast"/>
        <w:ind w:left="360"/>
        <w:contextualSpacing/>
      </w:pPr>
      <w:r w:rsidRPr="00B26F8B">
        <w:t>Rijksprioriteiten</w:t>
      </w:r>
    </w:p>
    <w:p w:rsidR="00186BB1" w:rsidRPr="00B26F8B" w:rsidRDefault="00140307" w:rsidP="00B26F8B">
      <w:pPr>
        <w:pStyle w:val="Lijstalinea"/>
        <w:numPr>
          <w:ilvl w:val="1"/>
          <w:numId w:val="3"/>
        </w:numPr>
        <w:spacing w:line="240" w:lineRule="atLeast"/>
        <w:ind w:left="1080"/>
        <w:contextualSpacing/>
      </w:pPr>
      <w:r w:rsidRPr="00B26F8B">
        <w:t>De ontwikkeling in het aantal woonvisies waarin de thema’s zijn opgenomen</w:t>
      </w:r>
      <w:r w:rsidR="008A783A">
        <w:t>.</w:t>
      </w:r>
    </w:p>
    <w:p w:rsidR="00186BB1" w:rsidRPr="00B26F8B" w:rsidRDefault="00140307" w:rsidP="00B26F8B">
      <w:pPr>
        <w:pStyle w:val="Lijstalinea"/>
        <w:numPr>
          <w:ilvl w:val="1"/>
          <w:numId w:val="3"/>
        </w:numPr>
        <w:spacing w:line="240" w:lineRule="atLeast"/>
        <w:ind w:left="1080"/>
        <w:contextualSpacing/>
      </w:pPr>
      <w:r w:rsidRPr="00B26F8B">
        <w:t>De ontwikkeling in het aantal prestatieafspraken dat op deze them</w:t>
      </w:r>
      <w:r w:rsidR="008A783A">
        <w:t>a’s</w:t>
      </w:r>
      <w:r w:rsidRPr="00B26F8B">
        <w:t xml:space="preserve"> is gemaakt en de mate van concreetheid daarvan.</w:t>
      </w:r>
    </w:p>
    <w:p w:rsidR="00186BB1" w:rsidRPr="00B26F8B" w:rsidRDefault="00140307" w:rsidP="00B26F8B">
      <w:pPr>
        <w:pStyle w:val="Lijstalinea"/>
        <w:numPr>
          <w:ilvl w:val="0"/>
          <w:numId w:val="3"/>
        </w:numPr>
        <w:spacing w:line="240" w:lineRule="atLeast"/>
        <w:ind w:left="360"/>
        <w:contextualSpacing/>
      </w:pPr>
      <w:r w:rsidRPr="00B26F8B">
        <w:t>Betrokkenheid huurders</w:t>
      </w:r>
    </w:p>
    <w:p w:rsidR="00186BB1" w:rsidRPr="00B26F8B" w:rsidRDefault="00140307" w:rsidP="00B26F8B">
      <w:pPr>
        <w:pStyle w:val="Lijstalinea"/>
        <w:numPr>
          <w:ilvl w:val="1"/>
          <w:numId w:val="3"/>
        </w:numPr>
        <w:spacing w:line="240" w:lineRule="atLeast"/>
        <w:ind w:left="1080"/>
        <w:contextualSpacing/>
      </w:pPr>
      <w:r w:rsidRPr="00B26F8B">
        <w:t>De ontwikkeling in de mate van betrokkenheid van huurders bij prestatieafspraken.</w:t>
      </w:r>
    </w:p>
    <w:p w:rsidR="00186BB1" w:rsidRPr="00B26F8B" w:rsidRDefault="00140307" w:rsidP="00B26F8B">
      <w:pPr>
        <w:pStyle w:val="Lijstalinea"/>
        <w:numPr>
          <w:ilvl w:val="1"/>
          <w:numId w:val="3"/>
        </w:numPr>
        <w:spacing w:line="240" w:lineRule="atLeast"/>
        <w:ind w:left="1080"/>
        <w:contextualSpacing/>
      </w:pPr>
      <w:r w:rsidRPr="00B26F8B">
        <w:t xml:space="preserve">De ontwikkeling in het huurdersoordeel over de corporatie ten aanzien van </w:t>
      </w:r>
      <w:r w:rsidRPr="00B26F8B">
        <w:rPr>
          <w:i/>
        </w:rPr>
        <w:t>relatie en communicatie</w:t>
      </w:r>
      <w:r w:rsidRPr="00B26F8B">
        <w:t xml:space="preserve"> en </w:t>
      </w:r>
      <w:r w:rsidRPr="00B26F8B">
        <w:rPr>
          <w:i/>
        </w:rPr>
        <w:t>invloed op beleid</w:t>
      </w:r>
      <w:r w:rsidRPr="00B26F8B">
        <w:t>.</w:t>
      </w:r>
    </w:p>
    <w:p w:rsidR="00186BB1" w:rsidRPr="00B26F8B" w:rsidRDefault="00140307" w:rsidP="00B26F8B">
      <w:pPr>
        <w:pStyle w:val="Lijstalinea"/>
        <w:numPr>
          <w:ilvl w:val="0"/>
          <w:numId w:val="3"/>
        </w:numPr>
        <w:spacing w:line="240" w:lineRule="atLeast"/>
        <w:ind w:left="360"/>
        <w:contextualSpacing/>
      </w:pPr>
      <w:r w:rsidRPr="00B26F8B">
        <w:t>Woningmarktregio’s</w:t>
      </w:r>
    </w:p>
    <w:p w:rsidR="00186BB1" w:rsidRPr="00B26F8B" w:rsidRDefault="00140307" w:rsidP="00B26F8B">
      <w:pPr>
        <w:pStyle w:val="Lijstalinea"/>
        <w:numPr>
          <w:ilvl w:val="1"/>
          <w:numId w:val="3"/>
        </w:numPr>
        <w:spacing w:line="240" w:lineRule="atLeast"/>
        <w:ind w:left="1080"/>
        <w:contextualSpacing/>
      </w:pPr>
      <w:r w:rsidRPr="00B26F8B">
        <w:t>De ontwikkeling in de hoeveelheid woning</w:t>
      </w:r>
      <w:r w:rsidR="008A783A">
        <w:t>en in</w:t>
      </w:r>
      <w:r w:rsidRPr="00B26F8B">
        <w:t xml:space="preserve"> bezit van corporaties binnen en buiten de nu vastgestelde regio’s. </w:t>
      </w:r>
    </w:p>
    <w:p w:rsidR="00186BB1" w:rsidRPr="00B26F8B" w:rsidRDefault="00140307" w:rsidP="00B26F8B">
      <w:pPr>
        <w:pStyle w:val="Lijstalinea"/>
        <w:numPr>
          <w:ilvl w:val="1"/>
          <w:numId w:val="3"/>
        </w:numPr>
        <w:spacing w:line="240" w:lineRule="atLeast"/>
        <w:ind w:left="1080"/>
        <w:contextualSpacing/>
      </w:pPr>
      <w:r w:rsidRPr="00B26F8B">
        <w:t>De ontwikkeling in de hoeveelheid combinaties van gemeenten en corporaties.</w:t>
      </w:r>
    </w:p>
    <w:p w:rsidR="00186BB1" w:rsidRPr="00B26F8B" w:rsidRDefault="00140307" w:rsidP="00B26F8B">
      <w:pPr>
        <w:pStyle w:val="Lijstalinea"/>
        <w:numPr>
          <w:ilvl w:val="0"/>
          <w:numId w:val="3"/>
        </w:numPr>
        <w:spacing w:line="240" w:lineRule="atLeast"/>
        <w:ind w:left="360"/>
        <w:contextualSpacing/>
      </w:pPr>
      <w:r w:rsidRPr="00B26F8B">
        <w:t>Geschillenbeslechting</w:t>
      </w:r>
    </w:p>
    <w:p w:rsidR="00186BB1" w:rsidRPr="00B26F8B" w:rsidRDefault="00140307" w:rsidP="00B26F8B">
      <w:pPr>
        <w:pStyle w:val="Lijstalinea"/>
        <w:numPr>
          <w:ilvl w:val="1"/>
          <w:numId w:val="3"/>
        </w:numPr>
        <w:spacing w:line="240" w:lineRule="atLeast"/>
        <w:ind w:left="1080"/>
        <w:contextualSpacing/>
      </w:pPr>
      <w:r w:rsidRPr="00B26F8B">
        <w:t xml:space="preserve">Heeft het advies van de geschillencommissie (en het besluit van de minister) alsnog geleid tot prestatieafspraken? </w:t>
      </w:r>
      <w:r w:rsidRPr="00B26F8B">
        <w:br/>
      </w:r>
    </w:p>
    <w:p w:rsidR="00186BB1" w:rsidRPr="00B26F8B" w:rsidRDefault="00140307" w:rsidP="00B26F8B">
      <w:pPr>
        <w:pStyle w:val="Lijstalinea"/>
        <w:numPr>
          <w:ilvl w:val="0"/>
          <w:numId w:val="1"/>
        </w:numPr>
        <w:spacing w:line="240" w:lineRule="atLeast"/>
        <w:ind w:left="360"/>
        <w:contextualSpacing/>
      </w:pPr>
      <w:r w:rsidRPr="00B26F8B">
        <w:t>Bescherming maatschappelijk bestemd vermogen en voorkomen marktverstoring</w:t>
      </w:r>
    </w:p>
    <w:p w:rsidR="00186BB1" w:rsidRPr="00B26F8B" w:rsidRDefault="00140307" w:rsidP="00B26F8B">
      <w:pPr>
        <w:pStyle w:val="Lijstalinea"/>
        <w:numPr>
          <w:ilvl w:val="0"/>
          <w:numId w:val="4"/>
        </w:numPr>
        <w:spacing w:line="240" w:lineRule="atLeast"/>
        <w:ind w:left="360"/>
        <w:contextualSpacing/>
      </w:pPr>
      <w:r w:rsidRPr="00B26F8B">
        <w:t>Scheiden/splitsen</w:t>
      </w:r>
    </w:p>
    <w:p w:rsidR="00186BB1" w:rsidRPr="00B26F8B" w:rsidRDefault="00140307" w:rsidP="00B26F8B">
      <w:pPr>
        <w:pStyle w:val="Lijstalinea"/>
        <w:numPr>
          <w:ilvl w:val="1"/>
          <w:numId w:val="4"/>
        </w:numPr>
        <w:spacing w:line="240" w:lineRule="atLeast"/>
        <w:ind w:left="1080"/>
        <w:contextualSpacing/>
      </w:pPr>
      <w:r w:rsidRPr="00B26F8B">
        <w:t xml:space="preserve">Welke wijze van scheiding hebben corporaties gekozen. </w:t>
      </w:r>
    </w:p>
    <w:p w:rsidR="00186BB1" w:rsidRPr="00B26F8B" w:rsidRDefault="00140307" w:rsidP="00B26F8B">
      <w:pPr>
        <w:pStyle w:val="Lijstalinea"/>
        <w:numPr>
          <w:ilvl w:val="1"/>
          <w:numId w:val="4"/>
        </w:numPr>
        <w:spacing w:line="240" w:lineRule="atLeast"/>
        <w:ind w:left="1080"/>
        <w:contextualSpacing/>
      </w:pPr>
      <w:r w:rsidRPr="00B26F8B">
        <w:t xml:space="preserve">Hoeveel woningen en overig vastgoed zijn overgegaan van </w:t>
      </w:r>
      <w:proofErr w:type="spellStart"/>
      <w:r w:rsidRPr="00B26F8B">
        <w:t>Daeb</w:t>
      </w:r>
      <w:proofErr w:type="spellEnd"/>
      <w:r w:rsidRPr="00B26F8B">
        <w:t xml:space="preserve"> naar niet-</w:t>
      </w:r>
      <w:proofErr w:type="spellStart"/>
      <w:r w:rsidRPr="00B26F8B">
        <w:t>Daeb</w:t>
      </w:r>
      <w:proofErr w:type="spellEnd"/>
      <w:r w:rsidRPr="00B26F8B">
        <w:t xml:space="preserve"> (of andersom). </w:t>
      </w:r>
    </w:p>
    <w:p w:rsidR="00186BB1" w:rsidRPr="00B26F8B" w:rsidRDefault="00140307" w:rsidP="00B26F8B">
      <w:pPr>
        <w:pStyle w:val="Lijstalinea"/>
        <w:numPr>
          <w:ilvl w:val="0"/>
          <w:numId w:val="4"/>
        </w:numPr>
        <w:spacing w:line="240" w:lineRule="atLeast"/>
        <w:ind w:left="360"/>
        <w:contextualSpacing/>
      </w:pPr>
      <w:r w:rsidRPr="00B26F8B">
        <w:t>Markttoets</w:t>
      </w:r>
    </w:p>
    <w:p w:rsidR="00186BB1" w:rsidRPr="00B26F8B" w:rsidRDefault="00140307" w:rsidP="00B26F8B">
      <w:pPr>
        <w:pStyle w:val="Lijstalinea"/>
        <w:numPr>
          <w:ilvl w:val="1"/>
          <w:numId w:val="4"/>
        </w:numPr>
        <w:spacing w:line="240" w:lineRule="atLeast"/>
        <w:ind w:left="1080"/>
        <w:contextualSpacing/>
      </w:pPr>
      <w:r w:rsidRPr="00B26F8B">
        <w:t xml:space="preserve">Hoe vaak is een markttoets gedaan? </w:t>
      </w:r>
    </w:p>
    <w:p w:rsidR="00186BB1" w:rsidRPr="00B26F8B" w:rsidRDefault="00140307" w:rsidP="00B26F8B">
      <w:pPr>
        <w:pStyle w:val="Lijstalinea"/>
        <w:numPr>
          <w:ilvl w:val="1"/>
          <w:numId w:val="4"/>
        </w:numPr>
        <w:spacing w:line="240" w:lineRule="atLeast"/>
        <w:ind w:left="1080"/>
        <w:contextualSpacing/>
      </w:pPr>
      <w:r w:rsidRPr="00B26F8B">
        <w:t>Hoe vaak is goedkeuring voor niet-</w:t>
      </w:r>
      <w:proofErr w:type="spellStart"/>
      <w:r w:rsidRPr="00B26F8B">
        <w:t>D</w:t>
      </w:r>
      <w:r w:rsidR="00F74E1C" w:rsidRPr="00B26F8B">
        <w:t>aeb</w:t>
      </w:r>
      <w:proofErr w:type="spellEnd"/>
      <w:r w:rsidRPr="00B26F8B">
        <w:t xml:space="preserve">-activiteiten gevraagd bij de </w:t>
      </w:r>
      <w:proofErr w:type="spellStart"/>
      <w:r w:rsidRPr="00B26F8B">
        <w:t>Aw</w:t>
      </w:r>
      <w:proofErr w:type="spellEnd"/>
      <w:r w:rsidRPr="00B26F8B">
        <w:t xml:space="preserve">? </w:t>
      </w:r>
    </w:p>
    <w:p w:rsidR="00186BB1" w:rsidRPr="00B26F8B" w:rsidRDefault="00140307" w:rsidP="00B26F8B">
      <w:pPr>
        <w:pStyle w:val="Lijstalinea"/>
        <w:numPr>
          <w:ilvl w:val="1"/>
          <w:numId w:val="4"/>
        </w:numPr>
        <w:spacing w:line="240" w:lineRule="atLeast"/>
        <w:ind w:left="1080"/>
        <w:contextualSpacing/>
      </w:pPr>
      <w:r w:rsidRPr="00B26F8B">
        <w:t xml:space="preserve">Hoe vaak is door marktpartijen bezwaar gemaakt bij de </w:t>
      </w:r>
      <w:proofErr w:type="spellStart"/>
      <w:r w:rsidRPr="00B26F8B">
        <w:t>Aw</w:t>
      </w:r>
      <w:proofErr w:type="spellEnd"/>
      <w:r w:rsidRPr="00B26F8B">
        <w:t xml:space="preserve"> tegen een goedkeuring? </w:t>
      </w:r>
    </w:p>
    <w:p w:rsidR="00186BB1" w:rsidRPr="00B26F8B" w:rsidRDefault="00140307" w:rsidP="00B26F8B">
      <w:pPr>
        <w:pStyle w:val="Lijstalinea"/>
        <w:numPr>
          <w:ilvl w:val="0"/>
          <w:numId w:val="4"/>
        </w:numPr>
        <w:spacing w:line="240" w:lineRule="atLeast"/>
        <w:ind w:left="360"/>
        <w:contextualSpacing/>
      </w:pPr>
      <w:r w:rsidRPr="00B26F8B">
        <w:t>Rendement corporaties op de niet-</w:t>
      </w:r>
      <w:proofErr w:type="spellStart"/>
      <w:r w:rsidRPr="00B26F8B">
        <w:t>Daeb</w:t>
      </w:r>
      <w:proofErr w:type="spellEnd"/>
    </w:p>
    <w:p w:rsidR="00186BB1" w:rsidRPr="00B26F8B" w:rsidRDefault="00140307" w:rsidP="00B26F8B">
      <w:pPr>
        <w:pStyle w:val="Lijstalinea"/>
        <w:numPr>
          <w:ilvl w:val="1"/>
          <w:numId w:val="4"/>
        </w:numPr>
        <w:spacing w:line="240" w:lineRule="atLeast"/>
        <w:ind w:left="1080"/>
        <w:contextualSpacing/>
      </w:pPr>
      <w:r w:rsidRPr="00B26F8B">
        <w:t>Wat is het rendement in niet-</w:t>
      </w:r>
      <w:proofErr w:type="spellStart"/>
      <w:r w:rsidRPr="00B26F8B">
        <w:t>D</w:t>
      </w:r>
      <w:r w:rsidR="00F74E1C" w:rsidRPr="00B26F8B">
        <w:t>aeb</w:t>
      </w:r>
      <w:proofErr w:type="spellEnd"/>
    </w:p>
    <w:p w:rsidR="00186BB1" w:rsidRPr="00B26F8B" w:rsidRDefault="00140307" w:rsidP="00B26F8B">
      <w:pPr>
        <w:pStyle w:val="Lijstalinea"/>
        <w:numPr>
          <w:ilvl w:val="2"/>
          <w:numId w:val="4"/>
        </w:numPr>
        <w:spacing w:line="240" w:lineRule="atLeast"/>
        <w:ind w:left="1800"/>
        <w:contextualSpacing/>
      </w:pPr>
      <w:r w:rsidRPr="00B26F8B">
        <w:t>Hoe verhoudt dit zich to</w:t>
      </w:r>
      <w:r w:rsidR="00F74E1C" w:rsidRPr="00B26F8B">
        <w:t>t</w:t>
      </w:r>
      <w:r w:rsidRPr="00B26F8B">
        <w:t xml:space="preserve"> het rendement van marktpartijen</w:t>
      </w:r>
      <w:r w:rsidR="008A783A">
        <w:t>?</w:t>
      </w:r>
    </w:p>
    <w:p w:rsidR="00186BB1" w:rsidRPr="00B26F8B" w:rsidRDefault="00140307" w:rsidP="00B26F8B">
      <w:pPr>
        <w:pStyle w:val="Lijstalinea"/>
        <w:numPr>
          <w:ilvl w:val="2"/>
          <w:numId w:val="4"/>
        </w:numPr>
        <w:spacing w:line="240" w:lineRule="atLeast"/>
        <w:ind w:left="1800"/>
        <w:contextualSpacing/>
      </w:pPr>
      <w:r w:rsidRPr="00B26F8B">
        <w:t xml:space="preserve">Hoe verhoudt dit zich tot het rendement op de </w:t>
      </w:r>
      <w:proofErr w:type="spellStart"/>
      <w:r w:rsidRPr="00B26F8B">
        <w:t>Daeb</w:t>
      </w:r>
      <w:proofErr w:type="spellEnd"/>
      <w:r w:rsidR="008A783A">
        <w:t>?</w:t>
      </w:r>
    </w:p>
    <w:p w:rsidR="00186BB1" w:rsidRPr="00B26F8B" w:rsidRDefault="00140307" w:rsidP="00B26F8B">
      <w:pPr>
        <w:pStyle w:val="Lijstalinea"/>
        <w:numPr>
          <w:ilvl w:val="1"/>
          <w:numId w:val="4"/>
        </w:numPr>
        <w:spacing w:line="240" w:lineRule="atLeast"/>
        <w:ind w:left="1080"/>
        <w:contextualSpacing/>
      </w:pPr>
      <w:r w:rsidRPr="00B26F8B">
        <w:t>Hoe verhouden de huurprijzen na mutatie zich t.o.v. die van marktpartijen (bij gelijke woningen)</w:t>
      </w:r>
      <w:r w:rsidR="008A783A">
        <w:t>?</w:t>
      </w:r>
    </w:p>
    <w:p w:rsidR="00186BB1" w:rsidRPr="00B26F8B" w:rsidRDefault="00140307" w:rsidP="00B26F8B">
      <w:pPr>
        <w:pStyle w:val="Lijstalinea"/>
        <w:numPr>
          <w:ilvl w:val="0"/>
          <w:numId w:val="4"/>
        </w:numPr>
        <w:spacing w:line="240" w:lineRule="atLeast"/>
        <w:ind w:left="360"/>
        <w:contextualSpacing/>
      </w:pPr>
      <w:r w:rsidRPr="00B26F8B">
        <w:t>Investeringen corporaties in de niet-</w:t>
      </w:r>
      <w:proofErr w:type="spellStart"/>
      <w:r w:rsidRPr="00B26F8B">
        <w:t>Daeb</w:t>
      </w:r>
      <w:proofErr w:type="spellEnd"/>
    </w:p>
    <w:p w:rsidR="00186BB1" w:rsidRPr="00B26F8B" w:rsidRDefault="00140307" w:rsidP="00B26F8B">
      <w:pPr>
        <w:pStyle w:val="Lijstalinea"/>
        <w:numPr>
          <w:ilvl w:val="1"/>
          <w:numId w:val="4"/>
        </w:numPr>
        <w:spacing w:line="240" w:lineRule="atLeast"/>
        <w:ind w:left="1080"/>
        <w:contextualSpacing/>
      </w:pPr>
      <w:r w:rsidRPr="00B26F8B">
        <w:t>De ontwikkeling van de omvang van investeringen in de niet-</w:t>
      </w:r>
      <w:proofErr w:type="spellStart"/>
      <w:r w:rsidRPr="00B26F8B">
        <w:t>Daeb</w:t>
      </w:r>
      <w:proofErr w:type="spellEnd"/>
      <w:r w:rsidRPr="00B26F8B">
        <w:t>.</w:t>
      </w:r>
    </w:p>
    <w:p w:rsidR="00186BB1" w:rsidRPr="00B26F8B" w:rsidRDefault="00F74E1C" w:rsidP="00B26F8B">
      <w:pPr>
        <w:pStyle w:val="Lijstalinea"/>
        <w:numPr>
          <w:ilvl w:val="0"/>
          <w:numId w:val="4"/>
        </w:numPr>
        <w:spacing w:line="240" w:lineRule="atLeast"/>
        <w:ind w:left="360"/>
        <w:contextualSpacing/>
      </w:pPr>
      <w:r w:rsidRPr="00B26F8B">
        <w:t>Financiële</w:t>
      </w:r>
      <w:r w:rsidR="00140307" w:rsidRPr="00B26F8B">
        <w:t xml:space="preserve"> ratio’s</w:t>
      </w:r>
    </w:p>
    <w:p w:rsidR="00186BB1" w:rsidRPr="00B26F8B" w:rsidRDefault="00140307" w:rsidP="00B26F8B">
      <w:pPr>
        <w:pStyle w:val="Lijstalinea"/>
        <w:numPr>
          <w:ilvl w:val="1"/>
          <w:numId w:val="4"/>
        </w:numPr>
        <w:spacing w:line="240" w:lineRule="atLeast"/>
        <w:ind w:left="1080"/>
        <w:contextualSpacing/>
      </w:pPr>
      <w:r w:rsidRPr="00B26F8B">
        <w:t xml:space="preserve">De ontwikkeling van corporaties op de </w:t>
      </w:r>
      <w:r w:rsidR="00F74E1C" w:rsidRPr="00B26F8B">
        <w:t xml:space="preserve">financiële </w:t>
      </w:r>
      <w:r w:rsidRPr="00B26F8B">
        <w:t>ratio’s.</w:t>
      </w:r>
    </w:p>
    <w:p w:rsidR="00186BB1" w:rsidRPr="00B26F8B" w:rsidRDefault="00186BB1" w:rsidP="00B26F8B">
      <w:pPr>
        <w:pStyle w:val="Lijstalinea"/>
        <w:spacing w:line="240" w:lineRule="atLeast"/>
        <w:ind w:left="0"/>
        <w:contextualSpacing/>
      </w:pPr>
    </w:p>
    <w:p w:rsidR="00186BB1" w:rsidRPr="00B26F8B" w:rsidRDefault="00140307" w:rsidP="00B26F8B">
      <w:pPr>
        <w:pStyle w:val="Lijstalinea"/>
        <w:numPr>
          <w:ilvl w:val="0"/>
          <w:numId w:val="1"/>
        </w:numPr>
        <w:spacing w:line="240" w:lineRule="atLeast"/>
        <w:ind w:left="360"/>
        <w:contextualSpacing/>
      </w:pPr>
      <w:r w:rsidRPr="00B26F8B">
        <w:t xml:space="preserve">Verbetering van </w:t>
      </w:r>
      <w:proofErr w:type="spellStart"/>
      <w:r w:rsidRPr="00B26F8B">
        <w:t>governance</w:t>
      </w:r>
      <w:proofErr w:type="spellEnd"/>
      <w:r w:rsidRPr="00B26F8B">
        <w:t xml:space="preserve"> en intern toezicht</w:t>
      </w:r>
    </w:p>
    <w:p w:rsidR="00186BB1" w:rsidRPr="00B26F8B" w:rsidRDefault="00140307" w:rsidP="00B26F8B">
      <w:pPr>
        <w:pStyle w:val="Lijstalinea"/>
        <w:numPr>
          <w:ilvl w:val="0"/>
          <w:numId w:val="5"/>
        </w:numPr>
        <w:spacing w:line="240" w:lineRule="atLeast"/>
        <w:ind w:left="360"/>
        <w:contextualSpacing/>
      </w:pPr>
      <w:r w:rsidRPr="00B26F8B">
        <w:t xml:space="preserve">Geschiktheids- en betrouwbaarheidstoetsen voor bestuurders en </w:t>
      </w:r>
      <w:r w:rsidR="008A783A" w:rsidRPr="00B26F8B">
        <w:t>commissarissen</w:t>
      </w:r>
    </w:p>
    <w:p w:rsidR="00186BB1" w:rsidRPr="00B26F8B" w:rsidRDefault="00140307" w:rsidP="00B26F8B">
      <w:pPr>
        <w:pStyle w:val="Lijstalinea"/>
        <w:numPr>
          <w:ilvl w:val="1"/>
          <w:numId w:val="5"/>
        </w:numPr>
        <w:spacing w:line="240" w:lineRule="atLeast"/>
        <w:ind w:left="1080"/>
        <w:contextualSpacing/>
      </w:pPr>
      <w:r w:rsidRPr="00B26F8B">
        <w:t>Het aantal aanvragen</w:t>
      </w:r>
      <w:r w:rsidR="008A783A">
        <w:t>.</w:t>
      </w:r>
    </w:p>
    <w:p w:rsidR="00186BB1" w:rsidRPr="00B26F8B" w:rsidRDefault="00140307" w:rsidP="00B26F8B">
      <w:pPr>
        <w:pStyle w:val="Lijstalinea"/>
        <w:numPr>
          <w:ilvl w:val="1"/>
          <w:numId w:val="5"/>
        </w:numPr>
        <w:spacing w:line="240" w:lineRule="atLeast"/>
        <w:ind w:left="1080"/>
        <w:contextualSpacing/>
      </w:pPr>
      <w:r w:rsidRPr="00B26F8B">
        <w:t xml:space="preserve">Het oordeel van de </w:t>
      </w:r>
      <w:proofErr w:type="spellStart"/>
      <w:r w:rsidRPr="00B26F8B">
        <w:t>Aw</w:t>
      </w:r>
      <w:proofErr w:type="spellEnd"/>
      <w:r w:rsidRPr="00B26F8B">
        <w:t xml:space="preserve"> op de aanvragen</w:t>
      </w:r>
      <w:r w:rsidR="008A783A">
        <w:t>.</w:t>
      </w:r>
    </w:p>
    <w:p w:rsidR="00186BB1" w:rsidRPr="00B26F8B" w:rsidRDefault="00E01E4B" w:rsidP="00B26F8B">
      <w:pPr>
        <w:pStyle w:val="Lijstalinea"/>
        <w:numPr>
          <w:ilvl w:val="0"/>
          <w:numId w:val="5"/>
        </w:numPr>
        <w:spacing w:line="240" w:lineRule="atLeast"/>
        <w:ind w:left="360"/>
        <w:contextualSpacing/>
      </w:pPr>
      <w:proofErr w:type="spellStart"/>
      <w:r w:rsidRPr="00B26F8B">
        <w:t>Toezicht</w:t>
      </w:r>
      <w:r w:rsidR="00140307" w:rsidRPr="00B26F8B">
        <w:t>sbrieven</w:t>
      </w:r>
      <w:proofErr w:type="spellEnd"/>
    </w:p>
    <w:p w:rsidR="00186BB1" w:rsidRPr="00B26F8B" w:rsidRDefault="00140307" w:rsidP="00B26F8B">
      <w:pPr>
        <w:pStyle w:val="Lijstalinea"/>
        <w:numPr>
          <w:ilvl w:val="1"/>
          <w:numId w:val="19"/>
        </w:numPr>
        <w:spacing w:line="240" w:lineRule="atLeast"/>
        <w:ind w:left="1080"/>
        <w:contextualSpacing/>
      </w:pPr>
      <w:r w:rsidRPr="00B26F8B">
        <w:t>Aantal opmerkingen totaal</w:t>
      </w:r>
      <w:r w:rsidR="008A783A">
        <w:t>.</w:t>
      </w:r>
    </w:p>
    <w:p w:rsidR="00186BB1" w:rsidRPr="00B26F8B" w:rsidRDefault="00140307" w:rsidP="00B26F8B">
      <w:pPr>
        <w:pStyle w:val="Lijstalinea"/>
        <w:numPr>
          <w:ilvl w:val="1"/>
          <w:numId w:val="19"/>
        </w:numPr>
        <w:spacing w:line="240" w:lineRule="atLeast"/>
        <w:ind w:left="1080"/>
        <w:contextualSpacing/>
      </w:pPr>
      <w:r w:rsidRPr="00B26F8B">
        <w:t>Aantal opmerkingen met betrekking tot het intern toezicht</w:t>
      </w:r>
      <w:r w:rsidR="008A783A">
        <w:t>.</w:t>
      </w:r>
    </w:p>
    <w:p w:rsidR="00186BB1" w:rsidRPr="00B26F8B" w:rsidRDefault="00140307" w:rsidP="00B26F8B">
      <w:pPr>
        <w:pStyle w:val="Lijstalinea"/>
        <w:numPr>
          <w:ilvl w:val="0"/>
          <w:numId w:val="5"/>
        </w:numPr>
        <w:spacing w:line="240" w:lineRule="atLeast"/>
        <w:ind w:left="360"/>
        <w:contextualSpacing/>
      </w:pPr>
      <w:r w:rsidRPr="00B26F8B">
        <w:t>Visitaties</w:t>
      </w:r>
    </w:p>
    <w:p w:rsidR="00186BB1" w:rsidRPr="00B26F8B" w:rsidRDefault="00140307" w:rsidP="00B26F8B">
      <w:pPr>
        <w:pStyle w:val="Lijstalinea"/>
        <w:numPr>
          <w:ilvl w:val="1"/>
          <w:numId w:val="20"/>
        </w:numPr>
        <w:spacing w:line="240" w:lineRule="atLeast"/>
        <w:ind w:left="1080"/>
        <w:contextualSpacing/>
      </w:pPr>
      <w:r w:rsidRPr="00B26F8B">
        <w:t>Aantal corporaties dat is gevisiteerd</w:t>
      </w:r>
      <w:r w:rsidR="008A783A">
        <w:t>.</w:t>
      </w:r>
    </w:p>
    <w:p w:rsidR="00186BB1" w:rsidRPr="00B26F8B" w:rsidRDefault="00140307" w:rsidP="00B26F8B">
      <w:pPr>
        <w:pStyle w:val="Lijstalinea"/>
        <w:numPr>
          <w:ilvl w:val="0"/>
          <w:numId w:val="5"/>
        </w:numPr>
        <w:spacing w:line="240" w:lineRule="atLeast"/>
        <w:ind w:left="360"/>
        <w:contextualSpacing/>
      </w:pPr>
      <w:r w:rsidRPr="00B26F8B">
        <w:t xml:space="preserve">Meldingen </w:t>
      </w:r>
    </w:p>
    <w:p w:rsidR="00186BB1" w:rsidRPr="00B26F8B" w:rsidRDefault="00140307" w:rsidP="00B26F8B">
      <w:pPr>
        <w:pStyle w:val="Lijstalinea"/>
        <w:numPr>
          <w:ilvl w:val="1"/>
          <w:numId w:val="21"/>
        </w:numPr>
        <w:spacing w:line="240" w:lineRule="atLeast"/>
        <w:ind w:left="1080"/>
        <w:contextualSpacing/>
      </w:pPr>
      <w:r w:rsidRPr="00B26F8B">
        <w:t xml:space="preserve">Meldingen </w:t>
      </w:r>
      <w:r w:rsidR="00E01E4B" w:rsidRPr="00B26F8B">
        <w:t>d</w:t>
      </w:r>
      <w:r w:rsidRPr="00B26F8B">
        <w:t xml:space="preserve">oor de RvC aan de </w:t>
      </w:r>
      <w:proofErr w:type="spellStart"/>
      <w:r w:rsidRPr="00B26F8B">
        <w:t>Aw</w:t>
      </w:r>
      <w:proofErr w:type="spellEnd"/>
      <w:r w:rsidR="008A783A">
        <w:t>.</w:t>
      </w:r>
    </w:p>
    <w:p w:rsidR="00186BB1" w:rsidRPr="00B26F8B" w:rsidRDefault="00140307" w:rsidP="00B26F8B">
      <w:pPr>
        <w:pStyle w:val="Lijstalinea"/>
        <w:numPr>
          <w:ilvl w:val="1"/>
          <w:numId w:val="21"/>
        </w:numPr>
        <w:spacing w:line="240" w:lineRule="atLeast"/>
        <w:ind w:left="1080"/>
        <w:contextualSpacing/>
      </w:pPr>
      <w:r w:rsidRPr="00B26F8B">
        <w:t>Meldingen aan het Meldpunt Integriteit</w:t>
      </w:r>
      <w:r w:rsidR="008A783A">
        <w:t>.</w:t>
      </w:r>
    </w:p>
    <w:p w:rsidR="00186BB1" w:rsidRPr="00B26F8B" w:rsidRDefault="00140307" w:rsidP="00B26F8B">
      <w:pPr>
        <w:pStyle w:val="Lijstalinea"/>
        <w:numPr>
          <w:ilvl w:val="0"/>
          <w:numId w:val="5"/>
        </w:numPr>
        <w:spacing w:line="240" w:lineRule="atLeast"/>
        <w:ind w:left="360"/>
        <w:contextualSpacing/>
      </w:pPr>
      <w:r w:rsidRPr="00B26F8B">
        <w:t>Financieel reglement</w:t>
      </w:r>
    </w:p>
    <w:p w:rsidR="00186BB1" w:rsidRPr="00B26F8B" w:rsidRDefault="00140307" w:rsidP="00B26F8B">
      <w:pPr>
        <w:pStyle w:val="Lijstalinea"/>
        <w:numPr>
          <w:ilvl w:val="1"/>
          <w:numId w:val="22"/>
        </w:numPr>
        <w:spacing w:line="240" w:lineRule="atLeast"/>
        <w:ind w:left="1080"/>
        <w:contextualSpacing/>
      </w:pPr>
      <w:r w:rsidRPr="00B26F8B">
        <w:t>Het aantal corporaties dat een goedgekeurd financieel reglement heeft</w:t>
      </w:r>
      <w:r w:rsidR="008A783A">
        <w:t>.</w:t>
      </w:r>
    </w:p>
    <w:p w:rsidR="00186BB1" w:rsidRPr="00B26F8B" w:rsidRDefault="00186BB1" w:rsidP="00B26F8B">
      <w:pPr>
        <w:pStyle w:val="Lijstalinea"/>
        <w:spacing w:line="240" w:lineRule="atLeast"/>
        <w:ind w:left="360"/>
        <w:contextualSpacing/>
      </w:pPr>
    </w:p>
    <w:p w:rsidR="00186BB1" w:rsidRPr="00B26F8B" w:rsidRDefault="00315D89" w:rsidP="00812D33">
      <w:pPr>
        <w:rPr>
          <w:b/>
        </w:rPr>
      </w:pPr>
      <w:r>
        <w:rPr>
          <w:b/>
        </w:rPr>
        <w:br w:type="page"/>
      </w:r>
      <w:r w:rsidR="00140307" w:rsidRPr="00B26F8B">
        <w:rPr>
          <w:b/>
        </w:rPr>
        <w:lastRenderedPageBreak/>
        <w:t>Spoor 2</w:t>
      </w:r>
    </w:p>
    <w:p w:rsidR="00186BB1" w:rsidRPr="00B26F8B" w:rsidRDefault="00186BB1" w:rsidP="00B26F8B">
      <w:pPr>
        <w:spacing w:line="240" w:lineRule="atLeast"/>
        <w:contextualSpacing/>
      </w:pPr>
    </w:p>
    <w:p w:rsidR="00186BB1" w:rsidRPr="00B26F8B" w:rsidRDefault="00140307" w:rsidP="00B26F8B">
      <w:pPr>
        <w:spacing w:line="240" w:lineRule="atLeast"/>
        <w:contextualSpacing/>
      </w:pPr>
      <w:r w:rsidRPr="00B26F8B">
        <w:t xml:space="preserve">De centrale vraagstelling voor dit spoor is of de herziene organisatie en inrichting van het extern toezicht en de mandatering van de saneringstaak bij het WSW leidt tot de doelen die met de herziening van de Woningwet zijn beoogd. Hoofddoel van de herziening van de Woningwet ten aanzien van de inrichting van het externe toezicht en de saneringstaak is het bewerkstelligen van een verbetering en versterking van het externe toezicht op de sector. Tevens moeten wijzigingen in de rolverdeling en afstemming tussen </w:t>
      </w:r>
      <w:proofErr w:type="spellStart"/>
      <w:r w:rsidRPr="00B26F8B">
        <w:t>Aw</w:t>
      </w:r>
      <w:proofErr w:type="spellEnd"/>
      <w:r w:rsidRPr="00B26F8B">
        <w:t xml:space="preserve"> en WSW leiden tot een evenwichtiger en effectiever werking van het toezichtstelsel, hetgeen tevens een vermindering administratieve lasten voor corporaties kan inhouden. Dit onderzoek dient dan ook primair antwoord te geven op de vraag of en in hoeverre deze gewijzigde inrichting heeft bijgedragen aan deze hoofddoelstellingen. Daarnaast wordt gekeken naar de kwaliteit van het extern toezicht. De evaluatie van de maatregelen rond het </w:t>
      </w:r>
      <w:r w:rsidRPr="00B26F8B">
        <w:rPr>
          <w:i/>
        </w:rPr>
        <w:t>intern toezicht</w:t>
      </w:r>
      <w:r w:rsidRPr="00B26F8B">
        <w:t xml:space="preserve"> bij woningcorporaties maakt zoals gezegd geen deel uit van deze opdracht, maar vormt onderdeel van het kwantitatieve en het ervaringsonderzoek (sporen 1 en 3). Zoals ook bij de andere onderzoeken zal naast de beoogde effecten ook oog zijn voor onbedoelde/ongewenste neveneffecten die zijn opgetreden als gevolg van de herziening van de wet.</w:t>
      </w:r>
      <w:r w:rsidRPr="00B26F8B">
        <w:br/>
      </w:r>
    </w:p>
    <w:p w:rsidR="00186BB1" w:rsidRPr="00B26F8B" w:rsidRDefault="00140307" w:rsidP="00B26F8B">
      <w:pPr>
        <w:spacing w:line="240" w:lineRule="atLeast"/>
        <w:contextualSpacing/>
      </w:pPr>
      <w:r w:rsidRPr="00B26F8B">
        <w:t xml:space="preserve">Ten behoeve van het onderzoek zullen interviews dienen te worden gehouden met de </w:t>
      </w:r>
      <w:r w:rsidR="00E01E4B" w:rsidRPr="00B26F8B">
        <w:t xml:space="preserve">partijen die onderwerp van onderzoek zijn </w:t>
      </w:r>
      <w:r w:rsidRPr="00B26F8B">
        <w:t xml:space="preserve">i.c. het ministerie van BZK, de ILT, de </w:t>
      </w:r>
      <w:proofErr w:type="spellStart"/>
      <w:r w:rsidRPr="00B26F8B">
        <w:t>Aw</w:t>
      </w:r>
      <w:proofErr w:type="spellEnd"/>
      <w:r w:rsidRPr="00B26F8B">
        <w:t xml:space="preserve"> en het WSW. Daarnaast zal een aantal woningcorporaties worden bevraagd, om de effecten van de herziene vormgeving voor de </w:t>
      </w:r>
      <w:proofErr w:type="spellStart"/>
      <w:r w:rsidRPr="00B26F8B">
        <w:t>ondertoezichtgestelden</w:t>
      </w:r>
      <w:proofErr w:type="spellEnd"/>
      <w:r w:rsidRPr="00B26F8B">
        <w:t xml:space="preserve"> te onderzoeken. </w:t>
      </w:r>
    </w:p>
    <w:p w:rsidR="00186BB1" w:rsidRPr="00B26F8B" w:rsidRDefault="00186BB1" w:rsidP="00B26F8B">
      <w:pPr>
        <w:spacing w:line="240" w:lineRule="atLeast"/>
        <w:contextualSpacing/>
      </w:pPr>
    </w:p>
    <w:p w:rsidR="00186BB1" w:rsidRPr="00B26F8B" w:rsidRDefault="00140307" w:rsidP="00B26F8B">
      <w:pPr>
        <w:spacing w:line="240" w:lineRule="atLeast"/>
        <w:contextualSpacing/>
      </w:pPr>
      <w:r w:rsidRPr="00B26F8B">
        <w:br/>
        <w:t xml:space="preserve">In het onderzoek dient verder in elk geval antwoord te worden verkregen op de volgende vragen:  </w:t>
      </w:r>
    </w:p>
    <w:p w:rsidR="00186BB1" w:rsidRPr="00B26F8B" w:rsidRDefault="00140307" w:rsidP="00B26F8B">
      <w:pPr>
        <w:pStyle w:val="Lijstalinea"/>
        <w:numPr>
          <w:ilvl w:val="0"/>
          <w:numId w:val="6"/>
        </w:numPr>
        <w:spacing w:line="240" w:lineRule="atLeast"/>
        <w:ind w:left="360"/>
        <w:contextualSpacing/>
        <w:rPr>
          <w:i/>
        </w:rPr>
      </w:pPr>
      <w:r w:rsidRPr="00B26F8B">
        <w:rPr>
          <w:i/>
        </w:rPr>
        <w:t>Organisatie en inrichting van het extern toezicht</w:t>
      </w:r>
    </w:p>
    <w:p w:rsidR="00186BB1" w:rsidRPr="00B26F8B" w:rsidRDefault="00140307" w:rsidP="00B26F8B">
      <w:pPr>
        <w:pStyle w:val="Lijstalinea"/>
        <w:numPr>
          <w:ilvl w:val="0"/>
          <w:numId w:val="7"/>
        </w:numPr>
        <w:spacing w:line="240" w:lineRule="atLeast"/>
        <w:ind w:left="786"/>
        <w:contextualSpacing/>
      </w:pPr>
      <w:r w:rsidRPr="00B26F8B">
        <w:t xml:space="preserve">Kunnen de </w:t>
      </w:r>
      <w:proofErr w:type="spellStart"/>
      <w:r w:rsidRPr="00B26F8B">
        <w:t>Aw</w:t>
      </w:r>
      <w:proofErr w:type="spellEnd"/>
      <w:r w:rsidRPr="00B26F8B">
        <w:t xml:space="preserve"> en het WSW op basis van het herziene stelsel onafhankelijk ten opzichte van het beleid en vrij van politieke beïnvloeding van toezichtcasuïstiek functioneren?</w:t>
      </w:r>
    </w:p>
    <w:p w:rsidR="00186BB1" w:rsidRPr="00B26F8B" w:rsidRDefault="00140307" w:rsidP="00B26F8B">
      <w:pPr>
        <w:pStyle w:val="Lijstalinea"/>
        <w:numPr>
          <w:ilvl w:val="0"/>
          <w:numId w:val="7"/>
        </w:numPr>
        <w:spacing w:line="240" w:lineRule="atLeast"/>
        <w:ind w:left="786"/>
        <w:contextualSpacing/>
      </w:pPr>
      <w:r w:rsidRPr="00B26F8B">
        <w:t>Draagt de gecombineerde rol</w:t>
      </w:r>
      <w:r w:rsidR="009B6C4A">
        <w:t xml:space="preserve"> van </w:t>
      </w:r>
      <w:proofErr w:type="spellStart"/>
      <w:r w:rsidR="009B6C4A">
        <w:t>Aw</w:t>
      </w:r>
      <w:proofErr w:type="spellEnd"/>
      <w:r w:rsidR="009B6C4A">
        <w:t xml:space="preserve"> </w:t>
      </w:r>
      <w:r w:rsidRPr="00B26F8B">
        <w:t xml:space="preserve">in relatie tot het WSW (toezichthouder en partner in verticaal toezicht) bij aan de gewenste werking van het stelsel?    </w:t>
      </w:r>
    </w:p>
    <w:p w:rsidR="00186BB1" w:rsidRPr="00B26F8B" w:rsidRDefault="00140307" w:rsidP="00B26F8B">
      <w:pPr>
        <w:pStyle w:val="Lijstalinea"/>
        <w:numPr>
          <w:ilvl w:val="0"/>
          <w:numId w:val="7"/>
        </w:numPr>
        <w:spacing w:line="240" w:lineRule="atLeast"/>
        <w:ind w:left="786"/>
        <w:contextualSpacing/>
      </w:pPr>
      <w:r w:rsidRPr="00B26F8B">
        <w:t xml:space="preserve">Draagt de positionering van de </w:t>
      </w:r>
      <w:proofErr w:type="spellStart"/>
      <w:r w:rsidRPr="00B26F8B">
        <w:t>Aw</w:t>
      </w:r>
      <w:proofErr w:type="spellEnd"/>
      <w:r w:rsidRPr="00B26F8B">
        <w:t xml:space="preserve"> binnen de Inspectie Leefomgeving en Transport (ILT) bij aan de onafhankelijkheid en herkenbaarheid van deze toezichthouder? </w:t>
      </w:r>
    </w:p>
    <w:p w:rsidR="00186BB1" w:rsidRPr="00B26F8B" w:rsidRDefault="00140307" w:rsidP="00B26F8B">
      <w:pPr>
        <w:pStyle w:val="Lijstalinea"/>
        <w:numPr>
          <w:ilvl w:val="0"/>
          <w:numId w:val="7"/>
        </w:numPr>
        <w:spacing w:line="240" w:lineRule="atLeast"/>
        <w:ind w:left="786"/>
        <w:contextualSpacing/>
      </w:pPr>
      <w:r w:rsidRPr="00B26F8B">
        <w:t xml:space="preserve">Draagt de gewijzigde inrichting van het stelsel bij aan een integrale uitoefening van het externe toezicht door de </w:t>
      </w:r>
      <w:proofErr w:type="spellStart"/>
      <w:r w:rsidRPr="00B26F8B">
        <w:t>Aw</w:t>
      </w:r>
      <w:proofErr w:type="spellEnd"/>
      <w:r w:rsidRPr="00B26F8B">
        <w:t xml:space="preserve">, d.w.z.: toezicht op het gebied van zowel financiën als </w:t>
      </w:r>
      <w:proofErr w:type="spellStart"/>
      <w:r w:rsidRPr="00B26F8B">
        <w:t>governance</w:t>
      </w:r>
      <w:proofErr w:type="spellEnd"/>
      <w:r w:rsidRPr="00B26F8B">
        <w:t xml:space="preserve">, integriteit en rechtmatigheid?  </w:t>
      </w:r>
    </w:p>
    <w:p w:rsidR="00186BB1" w:rsidRPr="00B26F8B" w:rsidRDefault="00140307" w:rsidP="00B26F8B">
      <w:pPr>
        <w:pStyle w:val="Lijstalinea"/>
        <w:numPr>
          <w:ilvl w:val="0"/>
          <w:numId w:val="7"/>
        </w:numPr>
        <w:spacing w:line="240" w:lineRule="atLeast"/>
        <w:ind w:left="786"/>
        <w:contextualSpacing/>
      </w:pPr>
      <w:r w:rsidRPr="00B26F8B">
        <w:t xml:space="preserve">Biedt de inrichting van het stelsel, waarbij extern toezicht op afstand is geplaatst, de minister voldoende mogelijkheid om zijn verantwoordelijkheid ten aanzien van de kwaliteit en het functioneren van de toezichthouder waar te maken? </w:t>
      </w:r>
      <w:r w:rsidRPr="00B26F8B">
        <w:br/>
      </w:r>
    </w:p>
    <w:p w:rsidR="00186BB1" w:rsidRPr="00B26F8B" w:rsidRDefault="00140307" w:rsidP="00B26F8B">
      <w:pPr>
        <w:pStyle w:val="Lijstalinea"/>
        <w:numPr>
          <w:ilvl w:val="0"/>
          <w:numId w:val="6"/>
        </w:numPr>
        <w:spacing w:line="240" w:lineRule="atLeast"/>
        <w:ind w:left="360"/>
        <w:contextualSpacing/>
        <w:rPr>
          <w:i/>
        </w:rPr>
      </w:pPr>
      <w:r w:rsidRPr="00B26F8B">
        <w:rPr>
          <w:i/>
        </w:rPr>
        <w:t>Publieke verantwoordelijkheid voor en saneringstaak beleggen bij het WSW</w:t>
      </w:r>
    </w:p>
    <w:p w:rsidR="00186BB1" w:rsidRPr="00B26F8B" w:rsidRDefault="00140307" w:rsidP="00B26F8B">
      <w:pPr>
        <w:pStyle w:val="Lijstalinea"/>
        <w:numPr>
          <w:ilvl w:val="0"/>
          <w:numId w:val="8"/>
        </w:numPr>
        <w:spacing w:line="240" w:lineRule="atLeast"/>
        <w:ind w:left="786"/>
        <w:contextualSpacing/>
        <w:rPr>
          <w:i/>
        </w:rPr>
      </w:pPr>
      <w:r w:rsidRPr="00B26F8B">
        <w:t xml:space="preserve">Dragen het mandateren van de publieke saneringstaak </w:t>
      </w:r>
      <w:r w:rsidR="009B6C4A">
        <w:t>aan</w:t>
      </w:r>
      <w:r w:rsidRPr="00B26F8B">
        <w:t xml:space="preserve"> het WSW, met de daarbij gestelde eisen ten aanzien van de organisatorische vormgeving, bij aan een betere aansluiting van sanering en borging door het WSW en de vereiste onafhankelijke uitvoering van deze respectievelijke taken? </w:t>
      </w:r>
    </w:p>
    <w:p w:rsidR="00186BB1" w:rsidRPr="00B26F8B" w:rsidRDefault="00140307" w:rsidP="00B26F8B">
      <w:pPr>
        <w:pStyle w:val="Lijstalinea"/>
        <w:numPr>
          <w:ilvl w:val="0"/>
          <w:numId w:val="8"/>
        </w:numPr>
        <w:spacing w:line="240" w:lineRule="atLeast"/>
        <w:ind w:left="786"/>
        <w:contextualSpacing/>
        <w:rPr>
          <w:i/>
        </w:rPr>
      </w:pPr>
      <w:r w:rsidRPr="00B26F8B">
        <w:t xml:space="preserve">Biedt de inrichting van het publieke toezicht op WSW als borgsteller de </w:t>
      </w:r>
      <w:proofErr w:type="spellStart"/>
      <w:r w:rsidRPr="00B26F8B">
        <w:t>Aw</w:t>
      </w:r>
      <w:proofErr w:type="spellEnd"/>
      <w:r w:rsidRPr="00B26F8B">
        <w:t xml:space="preserve"> voldoende mogelijkheden en instrumenten om haar verantwoordelijkheid waar te maken? </w:t>
      </w:r>
    </w:p>
    <w:p w:rsidR="00186BB1" w:rsidRPr="00B26F8B" w:rsidRDefault="00140307" w:rsidP="00B26F8B">
      <w:pPr>
        <w:pStyle w:val="Lijstalinea"/>
        <w:numPr>
          <w:ilvl w:val="0"/>
          <w:numId w:val="8"/>
        </w:numPr>
        <w:spacing w:line="240" w:lineRule="atLeast"/>
        <w:ind w:left="786"/>
        <w:contextualSpacing/>
        <w:rPr>
          <w:i/>
        </w:rPr>
      </w:pPr>
      <w:r w:rsidRPr="00B26F8B">
        <w:t xml:space="preserve">Biedt de vergroting van de publieke </w:t>
      </w:r>
      <w:r w:rsidR="008A783A">
        <w:t>bevoegdheden</w:t>
      </w:r>
      <w:r w:rsidR="009B6C4A">
        <w:rPr>
          <w:rStyle w:val="Voetnootmarkering"/>
        </w:rPr>
        <w:footnoteReference w:id="1"/>
      </w:r>
      <w:r w:rsidRPr="00B26F8B">
        <w:t xml:space="preserve"> </w:t>
      </w:r>
      <w:r w:rsidR="008A783A">
        <w:t>ten aanzien van</w:t>
      </w:r>
      <w:r w:rsidRPr="00B26F8B">
        <w:t xml:space="preserve"> het WSW de minister voldoende mogelijkheid tot risicobeheersing? </w:t>
      </w:r>
    </w:p>
    <w:p w:rsidR="00186BB1" w:rsidRPr="00B26F8B" w:rsidRDefault="00140307" w:rsidP="00B26F8B">
      <w:pPr>
        <w:pStyle w:val="Lijstalinea"/>
        <w:numPr>
          <w:ilvl w:val="0"/>
          <w:numId w:val="8"/>
        </w:numPr>
        <w:spacing w:line="240" w:lineRule="atLeast"/>
        <w:ind w:left="786"/>
        <w:contextualSpacing/>
        <w:rPr>
          <w:i/>
        </w:rPr>
      </w:pPr>
      <w:r w:rsidRPr="00B26F8B">
        <w:lastRenderedPageBreak/>
        <w:t>Biedt de inrichting van de saneringstaak de minister voldoende mogelijkheden om zijn verantwoordelijkheid voor de saneringstaak waar te maken?</w:t>
      </w:r>
      <w:r w:rsidRPr="00B26F8B">
        <w:br/>
      </w:r>
    </w:p>
    <w:p w:rsidR="00186BB1" w:rsidRPr="00B26F8B" w:rsidRDefault="00140307" w:rsidP="00B26F8B">
      <w:pPr>
        <w:pStyle w:val="Lijstalinea"/>
        <w:numPr>
          <w:ilvl w:val="0"/>
          <w:numId w:val="6"/>
        </w:numPr>
        <w:spacing w:line="240" w:lineRule="atLeast"/>
        <w:ind w:left="360"/>
        <w:contextualSpacing/>
        <w:rPr>
          <w:i/>
        </w:rPr>
      </w:pPr>
      <w:r w:rsidRPr="00B26F8B">
        <w:rPr>
          <w:i/>
        </w:rPr>
        <w:t>Samenwerking in het stelsel</w:t>
      </w:r>
    </w:p>
    <w:p w:rsidR="00186BB1" w:rsidRPr="00B26F8B" w:rsidRDefault="00140307" w:rsidP="00B26F8B">
      <w:pPr>
        <w:pStyle w:val="Lijstalinea"/>
        <w:numPr>
          <w:ilvl w:val="0"/>
          <w:numId w:val="9"/>
        </w:numPr>
        <w:spacing w:line="240" w:lineRule="atLeast"/>
        <w:ind w:left="786"/>
        <w:contextualSpacing/>
        <w:rPr>
          <w:i/>
        </w:rPr>
      </w:pPr>
      <w:r w:rsidRPr="00B26F8B">
        <w:t xml:space="preserve">Leiden de gewijzigde regels en vormgeving voor/van het toezicht en sanering tot een verbetering in de informatie-uitwisseling en samenwerking tussen </w:t>
      </w:r>
      <w:proofErr w:type="spellStart"/>
      <w:r w:rsidRPr="00B26F8B">
        <w:t>Aw</w:t>
      </w:r>
      <w:proofErr w:type="spellEnd"/>
      <w:r w:rsidRPr="00B26F8B">
        <w:t xml:space="preserve"> en WSW en zo ja op welke aspecten? </w:t>
      </w:r>
    </w:p>
    <w:p w:rsidR="00186BB1" w:rsidRPr="00B26F8B" w:rsidRDefault="00140307" w:rsidP="00B26F8B">
      <w:pPr>
        <w:pStyle w:val="Lijstalinea"/>
        <w:numPr>
          <w:ilvl w:val="0"/>
          <w:numId w:val="9"/>
        </w:numPr>
        <w:spacing w:line="240" w:lineRule="atLeast"/>
        <w:ind w:left="786"/>
        <w:contextualSpacing/>
        <w:rPr>
          <w:i/>
        </w:rPr>
      </w:pPr>
      <w:r w:rsidRPr="00B26F8B">
        <w:t xml:space="preserve">Leiden de gewijzigde regels en vormgeving voor/van het toezicht en sanering tot een betere afstemming tussen </w:t>
      </w:r>
      <w:proofErr w:type="spellStart"/>
      <w:r w:rsidRPr="00B26F8B">
        <w:t>Aw</w:t>
      </w:r>
      <w:proofErr w:type="spellEnd"/>
      <w:r w:rsidRPr="00B26F8B">
        <w:t xml:space="preserve"> en WSW over maatregelen en interventies richting corporaties en zo ja op welke wijze? </w:t>
      </w:r>
    </w:p>
    <w:p w:rsidR="00186BB1" w:rsidRPr="00B26F8B" w:rsidRDefault="00140307" w:rsidP="00B26F8B">
      <w:pPr>
        <w:pStyle w:val="Lijstalinea"/>
        <w:numPr>
          <w:ilvl w:val="0"/>
          <w:numId w:val="9"/>
        </w:numPr>
        <w:spacing w:line="240" w:lineRule="atLeast"/>
        <w:ind w:left="786"/>
        <w:contextualSpacing/>
        <w:rPr>
          <w:i/>
        </w:rPr>
      </w:pPr>
      <w:r w:rsidRPr="00B26F8B">
        <w:t xml:space="preserve">Leiden de gewijzigde regels en vormgeving voor/van het toezicht en sanering tot  overeenstemming tussen </w:t>
      </w:r>
      <w:proofErr w:type="spellStart"/>
      <w:r w:rsidRPr="00B26F8B">
        <w:t>Aw</w:t>
      </w:r>
      <w:proofErr w:type="spellEnd"/>
      <w:r w:rsidRPr="00B26F8B">
        <w:t xml:space="preserve"> en WSW over de kaderstelling richting corporaties en hoe werkt dit in de praktijk?</w:t>
      </w:r>
    </w:p>
    <w:p w:rsidR="00186BB1" w:rsidRPr="00B26F8B" w:rsidRDefault="00140307" w:rsidP="00B26F8B">
      <w:pPr>
        <w:pStyle w:val="Lijstalinea"/>
        <w:numPr>
          <w:ilvl w:val="0"/>
          <w:numId w:val="9"/>
        </w:numPr>
        <w:spacing w:line="240" w:lineRule="atLeast"/>
        <w:ind w:left="786"/>
        <w:contextualSpacing/>
        <w:rPr>
          <w:i/>
        </w:rPr>
      </w:pPr>
      <w:r w:rsidRPr="00B26F8B">
        <w:t xml:space="preserve">Heeft deze werkwijze een effect op de (administratieve) lasten voor corporaties? </w:t>
      </w:r>
    </w:p>
    <w:p w:rsidR="00186BB1" w:rsidRPr="00B26F8B" w:rsidRDefault="00140307" w:rsidP="00B26F8B">
      <w:pPr>
        <w:pStyle w:val="Lijstalinea"/>
        <w:spacing w:line="240" w:lineRule="atLeast"/>
        <w:ind w:left="786"/>
        <w:contextualSpacing/>
        <w:rPr>
          <w:i/>
        </w:rPr>
      </w:pPr>
      <w:r w:rsidRPr="00B26F8B">
        <w:t xml:space="preserve">                                                                       </w:t>
      </w:r>
    </w:p>
    <w:p w:rsidR="00186BB1" w:rsidRPr="00B26F8B" w:rsidRDefault="00140307" w:rsidP="00B26F8B">
      <w:pPr>
        <w:pStyle w:val="Lijstalinea"/>
        <w:numPr>
          <w:ilvl w:val="0"/>
          <w:numId w:val="6"/>
        </w:numPr>
        <w:spacing w:line="240" w:lineRule="atLeast"/>
        <w:ind w:left="360"/>
        <w:contextualSpacing/>
        <w:rPr>
          <w:i/>
        </w:rPr>
      </w:pPr>
      <w:r w:rsidRPr="00B26F8B">
        <w:rPr>
          <w:i/>
        </w:rPr>
        <w:t>Kwaliteit van toezicht</w:t>
      </w:r>
    </w:p>
    <w:p w:rsidR="00186BB1" w:rsidRPr="00B26F8B" w:rsidRDefault="00140307" w:rsidP="00B26F8B">
      <w:pPr>
        <w:pStyle w:val="Lijstalinea"/>
        <w:numPr>
          <w:ilvl w:val="0"/>
          <w:numId w:val="9"/>
        </w:numPr>
        <w:spacing w:line="240" w:lineRule="atLeast"/>
        <w:ind w:left="786"/>
        <w:contextualSpacing/>
      </w:pPr>
      <w:r w:rsidRPr="00B26F8B">
        <w:t>Hoe verloopt (ook uit oogpunt van rechtsgelijkheid) de verstrekking van goedkeuringen, ontheffingen en zienswijzen procesmatig en inhoudelijk?</w:t>
      </w:r>
    </w:p>
    <w:p w:rsidR="00186BB1" w:rsidRPr="00B26F8B" w:rsidRDefault="00140307" w:rsidP="00B26F8B">
      <w:pPr>
        <w:pStyle w:val="Lijstalinea"/>
        <w:numPr>
          <w:ilvl w:val="0"/>
          <w:numId w:val="9"/>
        </w:numPr>
        <w:spacing w:line="240" w:lineRule="atLeast"/>
        <w:ind w:left="786"/>
        <w:contextualSpacing/>
      </w:pPr>
      <w:r w:rsidRPr="00B26F8B">
        <w:t>Hoe verloopt (ook uit oogpunt van rechtsgelijkheid) het integrale, selectieve en risicogerichte toezicht van individuele corporaties procesmatig en inhoudelijk?</w:t>
      </w:r>
    </w:p>
    <w:p w:rsidR="00186BB1" w:rsidRPr="00B26F8B" w:rsidRDefault="00140307" w:rsidP="00B26F8B">
      <w:pPr>
        <w:pStyle w:val="Lijstalinea"/>
        <w:numPr>
          <w:ilvl w:val="0"/>
          <w:numId w:val="9"/>
        </w:numPr>
        <w:spacing w:line="240" w:lineRule="atLeast"/>
        <w:ind w:left="786"/>
        <w:contextualSpacing/>
      </w:pPr>
      <w:r w:rsidRPr="00B26F8B">
        <w:t xml:space="preserve">Is het toezicht door de </w:t>
      </w:r>
      <w:proofErr w:type="spellStart"/>
      <w:r w:rsidRPr="00B26F8B">
        <w:t>Aw</w:t>
      </w:r>
      <w:proofErr w:type="spellEnd"/>
      <w:r w:rsidRPr="00B26F8B">
        <w:t xml:space="preserve"> slagvaardig (doortastend en doeltreffend)? </w:t>
      </w:r>
    </w:p>
    <w:p w:rsidR="00E01E4B" w:rsidRPr="00B26F8B" w:rsidRDefault="00140307" w:rsidP="00B26F8B">
      <w:pPr>
        <w:pStyle w:val="Lijstalinea"/>
        <w:numPr>
          <w:ilvl w:val="0"/>
          <w:numId w:val="9"/>
        </w:numPr>
        <w:spacing w:line="240" w:lineRule="atLeast"/>
        <w:ind w:left="786"/>
        <w:contextualSpacing/>
      </w:pPr>
      <w:r w:rsidRPr="00B26F8B">
        <w:t xml:space="preserve">Is het toezicht door de </w:t>
      </w:r>
      <w:proofErr w:type="spellStart"/>
      <w:r w:rsidRPr="00B26F8B">
        <w:t>Aw</w:t>
      </w:r>
      <w:proofErr w:type="spellEnd"/>
      <w:r w:rsidRPr="00B26F8B">
        <w:t xml:space="preserve"> efficiënt?</w:t>
      </w:r>
      <w:r w:rsidRPr="00B26F8B">
        <w:rPr>
          <w:b/>
          <w:i/>
        </w:rPr>
        <w:t xml:space="preserve"> </w:t>
      </w:r>
    </w:p>
    <w:p w:rsidR="00E01E4B" w:rsidRPr="00B26F8B" w:rsidRDefault="00E01E4B" w:rsidP="00B26F8B">
      <w:pPr>
        <w:spacing w:line="240" w:lineRule="atLeast"/>
        <w:contextualSpacing/>
        <w:rPr>
          <w:b/>
          <w:i/>
        </w:rPr>
      </w:pPr>
    </w:p>
    <w:p w:rsidR="00E01E4B" w:rsidRPr="00B26F8B" w:rsidRDefault="00E01E4B" w:rsidP="00B26F8B">
      <w:pPr>
        <w:spacing w:line="240" w:lineRule="atLeast"/>
        <w:contextualSpacing/>
      </w:pPr>
      <w:r w:rsidRPr="00B26F8B">
        <w:rPr>
          <w:i/>
        </w:rPr>
        <w:t>Proces</w:t>
      </w:r>
      <w:r w:rsidRPr="00B26F8B">
        <w:rPr>
          <w:b/>
          <w:color w:val="44546A" w:themeColor="text2"/>
        </w:rPr>
        <w:br/>
      </w:r>
      <w:r w:rsidRPr="00B26F8B">
        <w:t>In december 2017 is een offerte-uitvraag naar de beoogde opdrachtnemer gestuurd. Hierover vindt medio januari overleg plaats. Beoogde gunning is eind januari.</w:t>
      </w:r>
    </w:p>
    <w:p w:rsidR="00186BB1" w:rsidRPr="00315D89" w:rsidRDefault="00140307" w:rsidP="00B26F8B">
      <w:pPr>
        <w:spacing w:line="240" w:lineRule="atLeast"/>
        <w:contextualSpacing/>
      </w:pPr>
      <w:r w:rsidRPr="00B26F8B">
        <w:rPr>
          <w:b/>
          <w:i/>
        </w:rPr>
        <w:br/>
      </w:r>
    </w:p>
    <w:p w:rsidR="00186BB1" w:rsidRPr="00B26F8B" w:rsidRDefault="00140307" w:rsidP="00B26F8B">
      <w:pPr>
        <w:spacing w:line="240" w:lineRule="atLeast"/>
        <w:contextualSpacing/>
      </w:pPr>
      <w:r w:rsidRPr="00315D89">
        <w:br w:type="page"/>
      </w:r>
    </w:p>
    <w:p w:rsidR="00186BB1" w:rsidRPr="00B26F8B" w:rsidRDefault="00140307" w:rsidP="00B26F8B">
      <w:pPr>
        <w:spacing w:line="240" w:lineRule="atLeast"/>
        <w:contextualSpacing/>
        <w:rPr>
          <w:b/>
        </w:rPr>
      </w:pPr>
      <w:r w:rsidRPr="00B26F8B">
        <w:rPr>
          <w:b/>
        </w:rPr>
        <w:lastRenderedPageBreak/>
        <w:t>Spoor 3</w:t>
      </w:r>
    </w:p>
    <w:p w:rsidR="00186BB1" w:rsidRPr="00B26F8B" w:rsidRDefault="00186BB1" w:rsidP="00B26F8B">
      <w:pPr>
        <w:spacing w:line="240" w:lineRule="atLeast"/>
        <w:contextualSpacing/>
      </w:pPr>
    </w:p>
    <w:p w:rsidR="00186BB1" w:rsidRPr="00B26F8B" w:rsidRDefault="00140307" w:rsidP="00B26F8B">
      <w:pPr>
        <w:spacing w:line="240" w:lineRule="atLeast"/>
        <w:contextualSpacing/>
      </w:pPr>
      <w:r w:rsidRPr="00B26F8B">
        <w:t>In dit onderzoek worden via enquêtes en verdiepende gesprekken bij verschillende partijen de ervaringen met de herziene Woningwet verzameld. Corporaties, gemeenten, huurders, marktpartijen en andere belanghouders z</w:t>
      </w:r>
      <w:r w:rsidR="00E01E4B" w:rsidRPr="00B26F8B">
        <w:t>a</w:t>
      </w:r>
      <w:r w:rsidRPr="00B26F8B">
        <w:t xml:space="preserve">l worden gevraagd naar hoe zij de effectiviteit van de maatregelen ervaren en welke neveneffecten zij zien. Daartoe zijn de onderstaande hoofdvragen geformuleerd: </w:t>
      </w:r>
    </w:p>
    <w:p w:rsidR="00186BB1" w:rsidRPr="00B26F8B" w:rsidRDefault="00140307" w:rsidP="00B26F8B">
      <w:pPr>
        <w:pStyle w:val="Lijstalinea"/>
        <w:numPr>
          <w:ilvl w:val="0"/>
          <w:numId w:val="13"/>
        </w:numPr>
        <w:spacing w:line="240" w:lineRule="atLeast"/>
        <w:ind w:left="714" w:hanging="357"/>
        <w:contextualSpacing/>
      </w:pPr>
      <w:r w:rsidRPr="00B26F8B">
        <w:t>Hoe en in welke mate worden, in de ervaring van partijen, de specifieke doelen van de verschillende maatregelen in de Woningwet bereikt?</w:t>
      </w:r>
    </w:p>
    <w:p w:rsidR="00186BB1" w:rsidRPr="00B26F8B" w:rsidRDefault="00140307" w:rsidP="00B26F8B">
      <w:pPr>
        <w:pStyle w:val="Lijstalinea"/>
        <w:numPr>
          <w:ilvl w:val="0"/>
          <w:numId w:val="13"/>
        </w:numPr>
        <w:spacing w:line="240" w:lineRule="atLeast"/>
        <w:ind w:left="714" w:hanging="357"/>
        <w:contextualSpacing/>
      </w:pPr>
      <w:r w:rsidRPr="00B26F8B">
        <w:t>Hoe en in welke mate dragen, in de ervaring van partijen, de verschillende maatregelen in de Woningwet bij aan één of meer van de zes genoemde hoofddoelen van de wet?</w:t>
      </w:r>
    </w:p>
    <w:p w:rsidR="00186BB1" w:rsidRPr="00B26F8B" w:rsidRDefault="00140307" w:rsidP="00B26F8B">
      <w:pPr>
        <w:pStyle w:val="Lijstalinea"/>
        <w:numPr>
          <w:ilvl w:val="0"/>
          <w:numId w:val="13"/>
        </w:numPr>
        <w:spacing w:line="240" w:lineRule="atLeast"/>
        <w:ind w:left="714" w:hanging="357"/>
        <w:contextualSpacing/>
      </w:pPr>
      <w:r w:rsidRPr="00B26F8B">
        <w:t>Welke neveneffecten ervaren de verschillende partijen van de verschillende maatregelen?</w:t>
      </w:r>
    </w:p>
    <w:p w:rsidR="00186BB1" w:rsidRPr="00B26F8B" w:rsidRDefault="00140307" w:rsidP="00B26F8B">
      <w:pPr>
        <w:spacing w:line="240" w:lineRule="atLeast"/>
        <w:contextualSpacing/>
      </w:pPr>
      <w:r w:rsidRPr="00B26F8B">
        <w:t>De rapportage van de opdrachtnemer zal dezelfde hoofdindeling naar hoofddoelen van de Woningwet kennen als spoor 1.</w:t>
      </w:r>
      <w:r w:rsidRPr="00B26F8B">
        <w:br/>
      </w:r>
    </w:p>
    <w:p w:rsidR="00186BB1" w:rsidRPr="00B26F8B" w:rsidRDefault="00140307" w:rsidP="00B26F8B">
      <w:pPr>
        <w:spacing w:line="240" w:lineRule="atLeast"/>
        <w:contextualSpacing/>
      </w:pPr>
      <w:r w:rsidRPr="00B26F8B">
        <w:rPr>
          <w:i/>
        </w:rPr>
        <w:t>Onderwerpen</w:t>
      </w:r>
      <w:r w:rsidRPr="00B26F8B">
        <w:br/>
        <w:t>De volle breedte van de Woningwet en onderliggende regelgeving is onderwerp in dit spoor. In de offerte-uitvraag is een lijst onderwerpen meegegeven die in elk geval aan bod moeten komen in het onderzoek. Deze lijst bestaat uit de meest substantiële wijzigingen in de wet, onderwerpen waarover in de afgelopen jaren veel signalen binnen zijn gekomen, en onderwerpen waarvan in de TK is toegezegd dat zij belicht zouden worden. Daarnaast word</w:t>
      </w:r>
      <w:r w:rsidR="00E01E4B" w:rsidRPr="00B26F8B">
        <w:t>t</w:t>
      </w:r>
      <w:r w:rsidRPr="00B26F8B">
        <w:t xml:space="preserve"> </w:t>
      </w:r>
      <w:proofErr w:type="spellStart"/>
      <w:r w:rsidRPr="00B26F8B">
        <w:t>offranten</w:t>
      </w:r>
      <w:proofErr w:type="spellEnd"/>
      <w:r w:rsidRPr="00B26F8B">
        <w:t xml:space="preserve"> gevraagd een voorstel te doen voor een selectiemethode om een prioritering aan te brengen in de overige onderwerpen. Met het onderzoeksbureau d</w:t>
      </w:r>
      <w:r w:rsidR="00E01E4B" w:rsidRPr="00B26F8B">
        <w:t>at</w:t>
      </w:r>
      <w:r w:rsidRPr="00B26F8B">
        <w:t xml:space="preserve"> de opdracht gaat uitvoeren zullen voorafgaand aan het opstellen van de vragen nog meer gedetailleerde afspraken worden gemaakt over de onderwerpen/maatregelen waarvoor meer of minder aandacht zal moeten zijn.</w:t>
      </w:r>
    </w:p>
    <w:p w:rsidR="009507A9" w:rsidRDefault="009507A9" w:rsidP="00B26F8B">
      <w:pPr>
        <w:spacing w:line="240" w:lineRule="atLeast"/>
        <w:contextualSpacing/>
        <w:rPr>
          <w:i/>
        </w:rPr>
      </w:pPr>
    </w:p>
    <w:p w:rsidR="00186BB1" w:rsidRPr="00B26F8B" w:rsidRDefault="00140307" w:rsidP="00B26F8B">
      <w:pPr>
        <w:spacing w:line="240" w:lineRule="atLeast"/>
        <w:contextualSpacing/>
      </w:pPr>
      <w:r w:rsidRPr="00B26F8B">
        <w:rPr>
          <w:i/>
        </w:rPr>
        <w:t>Methoden</w:t>
      </w:r>
      <w:r w:rsidRPr="00B26F8B">
        <w:rPr>
          <w:b/>
        </w:rPr>
        <w:br/>
      </w:r>
      <w:r w:rsidRPr="00B26F8B">
        <w:t xml:space="preserve">Voor de verschillende ervaringen dient in kaart te worden gebracht welke wettelijke maatregel met welk mechanisme tot die ervaring leidt. Door goed door te vragen kan zo onderscheid gemaakt worden tussen bedoelde effecten en neveneffecten, alsmede in welke mate ervaringen het resultaat zijn van wettelijke maatregelen of externe factoren. Dat levert nuttige informatie </w:t>
      </w:r>
      <w:r w:rsidR="00E01E4B" w:rsidRPr="00B26F8B">
        <w:t xml:space="preserve">op </w:t>
      </w:r>
      <w:r w:rsidRPr="00B26F8B">
        <w:t xml:space="preserve">voor eventuele verbeteringen van regelgeving. </w:t>
      </w:r>
    </w:p>
    <w:p w:rsidR="00186BB1" w:rsidRPr="00B26F8B" w:rsidRDefault="00186BB1" w:rsidP="00B26F8B">
      <w:pPr>
        <w:spacing w:line="240" w:lineRule="atLeast"/>
        <w:contextualSpacing/>
      </w:pPr>
    </w:p>
    <w:p w:rsidR="00186BB1" w:rsidRPr="00B26F8B" w:rsidRDefault="00140307" w:rsidP="00B26F8B">
      <w:pPr>
        <w:spacing w:line="240" w:lineRule="atLeast"/>
        <w:contextualSpacing/>
      </w:pPr>
      <w:r w:rsidRPr="00B26F8B">
        <w:t>Daarnaast moeten de gehanteerde methoden uiteraard een betrouwbaar en representatief beeld opleveren van de ervaringen. Ze moeten leiden tot informatie die kwantitatief gepresenteerd kan worden, aangevuld met uitleg en</w:t>
      </w:r>
      <w:r w:rsidR="0059691B" w:rsidRPr="00B26F8B">
        <w:t xml:space="preserve"> </w:t>
      </w:r>
      <w:r w:rsidRPr="00B26F8B">
        <w:t>onderbouwing op basis van kwalitatieve verdiepende informatie. Het zou bijvoorbeeld kunnen gaan om een combinatie van een brede enquête en brede verdiepende gespreksrondes.</w:t>
      </w:r>
    </w:p>
    <w:p w:rsidR="00186BB1" w:rsidRPr="00B26F8B" w:rsidRDefault="00186BB1" w:rsidP="00B26F8B">
      <w:pPr>
        <w:spacing w:line="240" w:lineRule="atLeast"/>
        <w:contextualSpacing/>
      </w:pPr>
    </w:p>
    <w:p w:rsidR="00186BB1" w:rsidRPr="00B26F8B" w:rsidRDefault="00140307" w:rsidP="00B26F8B">
      <w:pPr>
        <w:spacing w:line="240" w:lineRule="atLeast"/>
        <w:contextualSpacing/>
      </w:pPr>
      <w:r w:rsidRPr="00B26F8B">
        <w:rPr>
          <w:i/>
        </w:rPr>
        <w:t>Doelgroepen</w:t>
      </w:r>
      <w:r w:rsidRPr="00B26F8B">
        <w:br/>
        <w:t xml:space="preserve">De te onderzoeken doelgroepen zijn met name corporaties, gemeenten, huurders en verschillende marktpartijen. Voor elk van deze doelgroepen zal een aparte uitvraag moeten worden opgesteld. Bij sommige maatregelen kan het wenselijk zijn specifieke(re) doelgroepen te benaderen, zoals commissarissen en accountants. Belangrijk is dat de representativiteit zowel kwantitatief als kwalitatief geborgd is. Voor het kwalitatieve gedeelte kan de relevante onderscheidende variabele tussen maatregelen verschillen: dat kan bijvoorbeeld de geografische spreiding zijn, of verschillen in corporatiegrootte of type woningmarkt. </w:t>
      </w:r>
    </w:p>
    <w:p w:rsidR="00186BB1" w:rsidRPr="00B26F8B" w:rsidRDefault="00140307" w:rsidP="00B26F8B">
      <w:pPr>
        <w:spacing w:line="240" w:lineRule="atLeast"/>
        <w:contextualSpacing/>
      </w:pPr>
      <w:r w:rsidRPr="00B26F8B">
        <w:rPr>
          <w:b/>
          <w:color w:val="44546A" w:themeColor="text2"/>
        </w:rPr>
        <w:br/>
      </w:r>
      <w:r w:rsidRPr="00B26F8B">
        <w:rPr>
          <w:i/>
        </w:rPr>
        <w:t>Proces</w:t>
      </w:r>
      <w:r w:rsidRPr="00B26F8B">
        <w:rPr>
          <w:b/>
          <w:color w:val="44546A" w:themeColor="text2"/>
        </w:rPr>
        <w:br/>
      </w:r>
      <w:r w:rsidRPr="00B26F8B">
        <w:t>In december 2017 is een offerte-uitvraag naar vijf partijen gestuurd. Zij hebben tot half januari om een offerte in te dienen. De gunning volgt eind januari.</w:t>
      </w:r>
    </w:p>
    <w:p w:rsidR="00186BB1" w:rsidRPr="00B26F8B" w:rsidRDefault="00186BB1" w:rsidP="00B26F8B">
      <w:pPr>
        <w:spacing w:line="240" w:lineRule="atLeast"/>
        <w:contextualSpacing/>
        <w:rPr>
          <w:b/>
          <w:u w:val="single"/>
        </w:rPr>
      </w:pPr>
    </w:p>
    <w:p w:rsidR="00315D89" w:rsidRDefault="00315D89">
      <w:pPr>
        <w:rPr>
          <w:b/>
        </w:rPr>
      </w:pPr>
      <w:r>
        <w:rPr>
          <w:b/>
        </w:rPr>
        <w:br w:type="page"/>
      </w:r>
    </w:p>
    <w:p w:rsidR="00186BB1" w:rsidRPr="00B26F8B" w:rsidRDefault="00140307" w:rsidP="00B26F8B">
      <w:pPr>
        <w:spacing w:line="240" w:lineRule="atLeast"/>
        <w:contextualSpacing/>
        <w:rPr>
          <w:b/>
        </w:rPr>
      </w:pPr>
      <w:r w:rsidRPr="00B26F8B">
        <w:rPr>
          <w:b/>
        </w:rPr>
        <w:lastRenderedPageBreak/>
        <w:t>Bijlage 1: nadere toelichting indicatoren spoor 1</w:t>
      </w:r>
    </w:p>
    <w:p w:rsidR="00186BB1" w:rsidRPr="00B26F8B" w:rsidRDefault="00186BB1" w:rsidP="00B26F8B">
      <w:pPr>
        <w:spacing w:line="240" w:lineRule="atLeast"/>
        <w:contextualSpacing/>
        <w:rPr>
          <w:i/>
        </w:rPr>
      </w:pPr>
    </w:p>
    <w:p w:rsidR="00186BB1" w:rsidRPr="00B26F8B" w:rsidRDefault="00140307" w:rsidP="00315D89">
      <w:pPr>
        <w:pStyle w:val="Lijstalinea"/>
        <w:numPr>
          <w:ilvl w:val="0"/>
          <w:numId w:val="17"/>
        </w:numPr>
        <w:spacing w:line="240" w:lineRule="atLeast"/>
        <w:ind w:left="360"/>
        <w:contextualSpacing/>
      </w:pPr>
      <w:r w:rsidRPr="00B26F8B">
        <w:t>Terug naar de kerntaak</w:t>
      </w:r>
    </w:p>
    <w:p w:rsidR="00186BB1" w:rsidRPr="00B26F8B" w:rsidRDefault="00140307" w:rsidP="00315D89">
      <w:pPr>
        <w:pStyle w:val="Lijstalinea"/>
        <w:spacing w:line="240" w:lineRule="atLeast"/>
        <w:ind w:left="360"/>
        <w:contextualSpacing/>
      </w:pPr>
      <w:r w:rsidRPr="00B26F8B">
        <w:t>Met de herziene Woningwet is beoogd dat corporaties zich focussen op het huisvesten van huishoudens met een inkomen onder de wettelijk vastgelegde inkomensgrenzen</w:t>
      </w:r>
      <w:r w:rsidRPr="00B26F8B">
        <w:rPr>
          <w:rStyle w:val="Voetnootmarkering"/>
          <w:sz w:val="18"/>
          <w:szCs w:val="18"/>
        </w:rPr>
        <w:footnoteReference w:id="2"/>
      </w:r>
      <w:r w:rsidRPr="00B26F8B">
        <w:t xml:space="preserve">. </w:t>
      </w:r>
    </w:p>
    <w:p w:rsidR="00186BB1" w:rsidRPr="00B26F8B" w:rsidRDefault="00140307" w:rsidP="00315D89">
      <w:pPr>
        <w:pStyle w:val="Lijstalinea"/>
        <w:numPr>
          <w:ilvl w:val="0"/>
          <w:numId w:val="2"/>
        </w:numPr>
        <w:spacing w:line="240" w:lineRule="atLeast"/>
        <w:ind w:left="360"/>
        <w:contextualSpacing/>
      </w:pPr>
      <w:r w:rsidRPr="00B26F8B">
        <w:t>Woningvoorraad</w:t>
      </w:r>
    </w:p>
    <w:p w:rsidR="00186BB1" w:rsidRPr="00B26F8B" w:rsidRDefault="00140307" w:rsidP="00315D89">
      <w:pPr>
        <w:pStyle w:val="Lijstalinea"/>
        <w:spacing w:line="240" w:lineRule="atLeast"/>
        <w:ind w:left="360"/>
        <w:contextualSpacing/>
      </w:pPr>
      <w:r w:rsidRPr="00B26F8B">
        <w:t>Om de doelgroep betaalbaar te kunnen toewijzen is het van belang dat de woningvoorraad goed aansluit op de behoeften en mogelijkheden van deze doelgroep. Daartoe wordt in beeld gebracht:</w:t>
      </w:r>
    </w:p>
    <w:p w:rsidR="00186BB1" w:rsidRPr="00B26F8B" w:rsidRDefault="00140307" w:rsidP="00315D89">
      <w:pPr>
        <w:pStyle w:val="Lijstalinea"/>
        <w:numPr>
          <w:ilvl w:val="1"/>
          <w:numId w:val="2"/>
        </w:numPr>
        <w:spacing w:line="240" w:lineRule="atLeast"/>
        <w:ind w:left="1080"/>
        <w:contextualSpacing/>
      </w:pPr>
      <w:r w:rsidRPr="00B26F8B">
        <w:t>De ontwikkeling van zelfstandige en onzelfstandige woongelegenheden en nieuwbouw per prijsklasse - goedkoop (huur tot de kwaliteitskortingsgrens), betaalbaar (huur tussen de kwaliteitskortingsgrens en de aftoppingsgrens), duur tot liberalisatiegrens (huur tussen de aftoppingsgrens en de liberalisatiegrens) en duur boven liberalisatiegrens. Eventueel ingezoomd naar regio’s.</w:t>
      </w:r>
    </w:p>
    <w:p w:rsidR="00186BB1" w:rsidRPr="00B26F8B" w:rsidRDefault="00140307" w:rsidP="00315D89">
      <w:pPr>
        <w:pStyle w:val="Lijstalinea"/>
        <w:numPr>
          <w:ilvl w:val="0"/>
          <w:numId w:val="2"/>
        </w:numPr>
        <w:spacing w:line="240" w:lineRule="atLeast"/>
        <w:ind w:left="360"/>
        <w:contextualSpacing/>
      </w:pPr>
      <w:r w:rsidRPr="00B26F8B">
        <w:t>Passend toewijzen</w:t>
      </w:r>
    </w:p>
    <w:p w:rsidR="00186BB1" w:rsidRPr="00B26F8B" w:rsidRDefault="00140307" w:rsidP="00315D89">
      <w:pPr>
        <w:pStyle w:val="Lijstalinea"/>
        <w:spacing w:line="240" w:lineRule="atLeast"/>
        <w:ind w:left="360"/>
        <w:contextualSpacing/>
      </w:pPr>
      <w:r w:rsidRPr="00B26F8B">
        <w:t>Minimaal 95 procent van de toewijzingen aan huishoudens met potentieel recht op huurtoeslag (de doelgroep huurtoeslag) moet plaatsvinden in woningen met een huurprijs tot de voor het huishouden van toepassing zijnde aftoppingsgrens. Daartoe wordt in beeld gebracht:</w:t>
      </w:r>
    </w:p>
    <w:p w:rsidR="00186BB1" w:rsidRPr="00B26F8B" w:rsidRDefault="00140307" w:rsidP="00315D89">
      <w:pPr>
        <w:pStyle w:val="Lijstalinea"/>
        <w:numPr>
          <w:ilvl w:val="1"/>
          <w:numId w:val="2"/>
        </w:numPr>
        <w:spacing w:line="240" w:lineRule="atLeast"/>
        <w:ind w:left="1080"/>
        <w:contextualSpacing/>
      </w:pPr>
      <w:r w:rsidRPr="00B26F8B">
        <w:t xml:space="preserve">De ontwikkeling in het aandeel toewijzingen aan de huurtoeslagdoelgroep ten opzichte van het totaal aantal toewijzingen, met andere woorden, welk percentage van de woningen is aan de huurtoeslagdoelgroep toegewezen. </w:t>
      </w:r>
    </w:p>
    <w:p w:rsidR="00186BB1" w:rsidRPr="00B26F8B" w:rsidRDefault="00140307" w:rsidP="00315D89">
      <w:pPr>
        <w:pStyle w:val="Lijstalinea"/>
        <w:numPr>
          <w:ilvl w:val="1"/>
          <w:numId w:val="2"/>
        </w:numPr>
        <w:spacing w:line="240" w:lineRule="atLeast"/>
        <w:ind w:left="1080"/>
        <w:contextualSpacing/>
      </w:pPr>
      <w:r w:rsidRPr="00B26F8B">
        <w:t>En de ontwikkeling in het percentage van deze toewijzingen aan de huurtoeslagdoelgroep dat passend was.</w:t>
      </w:r>
    </w:p>
    <w:p w:rsidR="00186BB1" w:rsidRPr="00B26F8B" w:rsidRDefault="00140307" w:rsidP="00315D89">
      <w:pPr>
        <w:pStyle w:val="Lijstalinea"/>
        <w:numPr>
          <w:ilvl w:val="1"/>
          <w:numId w:val="24"/>
        </w:numPr>
        <w:spacing w:line="240" w:lineRule="atLeast"/>
        <w:ind w:left="1080"/>
        <w:contextualSpacing/>
      </w:pPr>
      <w:r w:rsidRPr="00B26F8B">
        <w:t xml:space="preserve">De ontwikkeling in het aantal goedkope en dure </w:t>
      </w:r>
      <w:proofErr w:type="spellStart"/>
      <w:r w:rsidRPr="00B26F8B">
        <w:t>scheefwoners</w:t>
      </w:r>
      <w:proofErr w:type="spellEnd"/>
      <w:r w:rsidRPr="00B26F8B">
        <w:t>.</w:t>
      </w:r>
    </w:p>
    <w:p w:rsidR="00186BB1" w:rsidRPr="00B26F8B" w:rsidRDefault="00140307" w:rsidP="00D513CE">
      <w:pPr>
        <w:pStyle w:val="Lijstalinea"/>
        <w:numPr>
          <w:ilvl w:val="0"/>
          <w:numId w:val="2"/>
        </w:numPr>
        <w:spacing w:line="240" w:lineRule="atLeast"/>
        <w:ind w:left="360"/>
        <w:contextualSpacing/>
      </w:pPr>
      <w:r w:rsidRPr="00B26F8B">
        <w:t>Toewijzen naar inkomensgrenzen</w:t>
      </w:r>
    </w:p>
    <w:p w:rsidR="00186BB1" w:rsidRPr="00B26F8B" w:rsidRDefault="00140307" w:rsidP="00D513CE">
      <w:pPr>
        <w:pStyle w:val="Lijstalinea"/>
        <w:spacing w:line="240" w:lineRule="atLeast"/>
        <w:ind w:left="360"/>
        <w:contextualSpacing/>
      </w:pPr>
      <w:r w:rsidRPr="00B26F8B">
        <w:t>Corporaties moeten – op grond van de staatssteuneisen van de Europese Commissie voor DAEB die thans zijn uitgewerkt in de Woningwet – minimaal 90 procent van de vrijkomende sociale huurwoningen met een huur onder de liberalisatiegrens aan de doelgroep toewijzen. Met de herziening van de Woningwet is tijdelijk (tot 2021) extra ruimte gecreëerd om woningen toe te wijzen aan huishoudens met een inkomen boven de toewijzingsgrens (de middeninkomens). Daartoe wordt in beeld gebracht:</w:t>
      </w:r>
    </w:p>
    <w:p w:rsidR="00186BB1" w:rsidRPr="00B26F8B" w:rsidRDefault="00140307" w:rsidP="00B26F8B">
      <w:pPr>
        <w:pStyle w:val="Lijstalinea"/>
        <w:numPr>
          <w:ilvl w:val="1"/>
          <w:numId w:val="2"/>
        </w:numPr>
        <w:spacing w:line="240" w:lineRule="atLeast"/>
        <w:ind w:left="1080"/>
        <w:contextualSpacing/>
      </w:pPr>
      <w:r w:rsidRPr="00B26F8B">
        <w:t>De ontwikkeling in de verdeling in toewijzing naar de verschillende inkomensgrenzen.</w:t>
      </w:r>
    </w:p>
    <w:p w:rsidR="00186BB1" w:rsidRPr="00B26F8B" w:rsidRDefault="00140307" w:rsidP="00B26F8B">
      <w:pPr>
        <w:pStyle w:val="Lijstalinea"/>
        <w:numPr>
          <w:ilvl w:val="0"/>
          <w:numId w:val="2"/>
        </w:numPr>
        <w:spacing w:line="240" w:lineRule="atLeast"/>
        <w:ind w:left="360"/>
        <w:contextualSpacing/>
      </w:pPr>
      <w:r w:rsidRPr="00B26F8B">
        <w:t>Leefbaarheid</w:t>
      </w:r>
    </w:p>
    <w:p w:rsidR="00186BB1" w:rsidRPr="00B26F8B" w:rsidRDefault="00140307" w:rsidP="00B26F8B">
      <w:pPr>
        <w:pStyle w:val="Lijstalinea"/>
        <w:spacing w:line="240" w:lineRule="atLeast"/>
        <w:ind w:left="360"/>
        <w:contextualSpacing/>
      </w:pPr>
      <w:r w:rsidRPr="00B26F8B">
        <w:t>Met de wetswijziging zijn de toegestane activiteiten op het terrein van leefbaarheid beperkt en zijn de toegestane uitgaven beperkt tot maximaal €125 (in 2015) per DAEB-verhuureenheid per jaar. Een hoger bedrag is toegestaan als dit bedrag expliciet is opgenomen in de prestatieafspraken tussen corporatie, gemeente en huurdersorganisaties. Daartoe wordt in beeld gebracht:</w:t>
      </w:r>
    </w:p>
    <w:p w:rsidR="00186BB1" w:rsidRPr="00B26F8B" w:rsidRDefault="00140307" w:rsidP="00B26F8B">
      <w:pPr>
        <w:pStyle w:val="Lijstalinea"/>
        <w:numPr>
          <w:ilvl w:val="1"/>
          <w:numId w:val="2"/>
        </w:numPr>
        <w:spacing w:line="240" w:lineRule="atLeast"/>
        <w:ind w:left="1080"/>
        <w:contextualSpacing/>
      </w:pPr>
      <w:r w:rsidRPr="00B26F8B">
        <w:t>De ontwikkeling op de totale en gemiddelde leefbaarheid</w:t>
      </w:r>
      <w:r w:rsidR="009507A9">
        <w:t>s</w:t>
      </w:r>
      <w:r w:rsidRPr="00B26F8B">
        <w:t xml:space="preserve">uitgaven van corporaties ten behoeve van DAEB-woongelegenheden. </w:t>
      </w:r>
    </w:p>
    <w:p w:rsidR="00186BB1" w:rsidRPr="00B26F8B" w:rsidRDefault="00140307" w:rsidP="00B26F8B">
      <w:pPr>
        <w:pStyle w:val="Lijstalinea"/>
        <w:numPr>
          <w:ilvl w:val="1"/>
          <w:numId w:val="2"/>
        </w:numPr>
        <w:spacing w:line="240" w:lineRule="atLeast"/>
        <w:ind w:left="1080"/>
        <w:contextualSpacing/>
      </w:pPr>
      <w:r w:rsidRPr="00B26F8B">
        <w:t>Of prestatieafspraken zijn gemaakt over het bedrag.</w:t>
      </w:r>
    </w:p>
    <w:p w:rsidR="00186BB1" w:rsidRPr="00B26F8B" w:rsidRDefault="00140307" w:rsidP="00B26F8B">
      <w:pPr>
        <w:pStyle w:val="Lijstalinea"/>
        <w:numPr>
          <w:ilvl w:val="0"/>
          <w:numId w:val="2"/>
        </w:numPr>
        <w:spacing w:line="240" w:lineRule="atLeast"/>
        <w:ind w:left="360"/>
        <w:contextualSpacing/>
      </w:pPr>
      <w:r w:rsidRPr="00B26F8B">
        <w:t>Voorraad overig vastgoed</w:t>
      </w:r>
    </w:p>
    <w:p w:rsidR="00186BB1" w:rsidRPr="00B26F8B" w:rsidRDefault="00140307" w:rsidP="00B26F8B">
      <w:pPr>
        <w:pStyle w:val="Lijstalinea"/>
        <w:spacing w:line="240" w:lineRule="atLeast"/>
        <w:ind w:left="360"/>
        <w:contextualSpacing/>
      </w:pPr>
      <w:r w:rsidRPr="00B26F8B">
        <w:t>Met de wetswijziging is aangescherpt welke typen maatschappelijk vastgoed zijn toegestaan.</w:t>
      </w:r>
    </w:p>
    <w:p w:rsidR="00186BB1" w:rsidRPr="00B26F8B" w:rsidRDefault="00140307" w:rsidP="00B26F8B">
      <w:pPr>
        <w:pStyle w:val="Lijstalinea"/>
        <w:spacing w:line="240" w:lineRule="atLeast"/>
        <w:ind w:left="360"/>
        <w:contextualSpacing/>
      </w:pPr>
      <w:r w:rsidRPr="00B26F8B">
        <w:t>Met de wetswijziging zijn voorts grenzen gesteld aan het bedrijfsmatig vastgoed dat tot de toegestane activiteiten van corporaties wordt gerekend. Daartoe wordt in beeld gebracht:</w:t>
      </w:r>
    </w:p>
    <w:p w:rsidR="00186BB1" w:rsidRPr="00B26F8B" w:rsidRDefault="00140307" w:rsidP="00B26F8B">
      <w:pPr>
        <w:pStyle w:val="Lijstalinea"/>
        <w:numPr>
          <w:ilvl w:val="1"/>
          <w:numId w:val="2"/>
        </w:numPr>
        <w:spacing w:line="240" w:lineRule="atLeast"/>
        <w:ind w:left="1080"/>
        <w:contextualSpacing/>
      </w:pPr>
      <w:r w:rsidRPr="00B26F8B">
        <w:t xml:space="preserve">In de </w:t>
      </w:r>
      <w:proofErr w:type="spellStart"/>
      <w:r w:rsidRPr="00B26F8B">
        <w:t>dVi</w:t>
      </w:r>
      <w:proofErr w:type="spellEnd"/>
      <w:r w:rsidRPr="00B26F8B">
        <w:t xml:space="preserve"> zitten maatschappelijk en bedrijfsmatig vastgoed niet als aparte categorieën. Daarom wordt de ontwikkeling van de omvang, in aantal en oppervlakte, de categorieën bedrijfsruimte en overig bezit in beeld gebracht. Dit kan een beeld geven over het </w:t>
      </w:r>
      <w:r w:rsidRPr="00B26F8B">
        <w:t xml:space="preserve">maatschappelijk en bedrijfsmatig vastgoed, omdat bedrijfsruimte en overig bezit in de </w:t>
      </w:r>
      <w:proofErr w:type="spellStart"/>
      <w:r w:rsidRPr="00B26F8B">
        <w:t>Daeb</w:t>
      </w:r>
      <w:proofErr w:type="spellEnd"/>
      <w:r w:rsidRPr="00B26F8B">
        <w:t xml:space="preserve"> veelal maatschappelijk vastgoed zal betreffen. Diezelfde categorieën in de niet-</w:t>
      </w:r>
      <w:proofErr w:type="spellStart"/>
      <w:r w:rsidRPr="00B26F8B">
        <w:t>Daeb</w:t>
      </w:r>
      <w:proofErr w:type="spellEnd"/>
      <w:r w:rsidRPr="00B26F8B">
        <w:t xml:space="preserve"> zullen altijd bedrijfsmatig vastgoed betreffen.</w:t>
      </w:r>
    </w:p>
    <w:p w:rsidR="00186BB1" w:rsidRDefault="00140307" w:rsidP="00B26F8B">
      <w:pPr>
        <w:pStyle w:val="Lijstalinea"/>
        <w:numPr>
          <w:ilvl w:val="1"/>
          <w:numId w:val="2"/>
        </w:numPr>
        <w:spacing w:line="240" w:lineRule="atLeast"/>
        <w:ind w:left="1080"/>
        <w:contextualSpacing/>
      </w:pPr>
      <w:r w:rsidRPr="00B26F8B">
        <w:t>De investeringen in maatschappelijk vastgoed en overig vastgoed.</w:t>
      </w:r>
    </w:p>
    <w:p w:rsidR="00A8645A" w:rsidRPr="00B26F8B" w:rsidRDefault="00A8645A" w:rsidP="00A8645A">
      <w:pPr>
        <w:pStyle w:val="Lijstalinea"/>
        <w:spacing w:line="240" w:lineRule="atLeast"/>
        <w:ind w:left="1080"/>
        <w:contextualSpacing/>
      </w:pPr>
    </w:p>
    <w:p w:rsidR="00186BB1" w:rsidRPr="00B26F8B" w:rsidRDefault="00140307" w:rsidP="00B26F8B">
      <w:pPr>
        <w:pStyle w:val="Lijstalinea"/>
        <w:numPr>
          <w:ilvl w:val="0"/>
          <w:numId w:val="2"/>
        </w:numPr>
        <w:spacing w:line="240" w:lineRule="atLeast"/>
        <w:ind w:left="360"/>
        <w:contextualSpacing/>
      </w:pPr>
      <w:r w:rsidRPr="00B26F8B">
        <w:lastRenderedPageBreak/>
        <w:t>Verbindingen</w:t>
      </w:r>
    </w:p>
    <w:p w:rsidR="00186BB1" w:rsidRPr="00B26F8B" w:rsidRDefault="00140307" w:rsidP="00B26F8B">
      <w:pPr>
        <w:pStyle w:val="Lijstalinea"/>
        <w:spacing w:line="240" w:lineRule="atLeast"/>
        <w:ind w:left="360"/>
        <w:contextualSpacing/>
      </w:pPr>
      <w:r w:rsidRPr="00B26F8B">
        <w:t>Met inwerkingtreding van de herziene Woningwet vallen dochtermaatschappijen van corporaties onder het directe toezicht van de Autoriteit Woningcorporaties, wanneer een corporatie ten minste de helft van de aandelen van een dochtermaatschappij bezit. Dochters van corporaties dienen, net als de moeder, ten minste naar rato van het aandeel van de moeder werkzaam te zijn op het gebied van de volkshuisvesting. Er zijn naast dochters ook vele andere verbonden ondernemingen mogelijk. Daartoe wordt in beeld gebracht:</w:t>
      </w:r>
    </w:p>
    <w:p w:rsidR="00186BB1" w:rsidRPr="00B26F8B" w:rsidRDefault="00140307" w:rsidP="00B26F8B">
      <w:pPr>
        <w:pStyle w:val="Lijstalinea"/>
        <w:numPr>
          <w:ilvl w:val="1"/>
          <w:numId w:val="2"/>
        </w:numPr>
        <w:spacing w:line="240" w:lineRule="atLeast"/>
        <w:ind w:left="1080"/>
        <w:contextualSpacing/>
      </w:pPr>
      <w:r w:rsidRPr="00B26F8B">
        <w:t>De ontwikkeling in activiteiten van verbonden ondernemingen en de rechtsvorm</w:t>
      </w:r>
      <w:r w:rsidR="009507A9">
        <w:t>.</w:t>
      </w:r>
    </w:p>
    <w:p w:rsidR="00186BB1" w:rsidRPr="00B26F8B" w:rsidRDefault="00140307" w:rsidP="00B26F8B">
      <w:pPr>
        <w:pStyle w:val="Lijstalinea"/>
        <w:numPr>
          <w:ilvl w:val="1"/>
          <w:numId w:val="2"/>
        </w:numPr>
        <w:spacing w:line="240" w:lineRule="atLeast"/>
        <w:ind w:left="1080"/>
        <w:contextualSpacing/>
      </w:pPr>
      <w:r w:rsidRPr="00B26F8B">
        <w:t>De ontwikkeling in de omvang van de deelnemingen op de balans van corporaties</w:t>
      </w:r>
      <w:r w:rsidR="009507A9">
        <w:t>.</w:t>
      </w:r>
    </w:p>
    <w:p w:rsidR="00186BB1" w:rsidRPr="00B26F8B" w:rsidRDefault="00140307" w:rsidP="00B26F8B">
      <w:pPr>
        <w:pStyle w:val="Lijstalinea"/>
        <w:spacing w:line="240" w:lineRule="atLeast"/>
        <w:ind w:left="360"/>
        <w:contextualSpacing/>
      </w:pPr>
      <w:r w:rsidRPr="00B26F8B">
        <w:t xml:space="preserve">  </w:t>
      </w:r>
    </w:p>
    <w:p w:rsidR="00186BB1" w:rsidRPr="00B26F8B" w:rsidRDefault="00140307" w:rsidP="00B26F8B">
      <w:pPr>
        <w:pStyle w:val="Lijstalinea"/>
        <w:numPr>
          <w:ilvl w:val="0"/>
          <w:numId w:val="17"/>
        </w:numPr>
        <w:spacing w:line="240" w:lineRule="atLeast"/>
        <w:ind w:left="360"/>
        <w:contextualSpacing/>
      </w:pPr>
      <w:r w:rsidRPr="00B26F8B">
        <w:t>Versterking positie gemeenten en huurdersorganisaties</w:t>
      </w:r>
    </w:p>
    <w:p w:rsidR="00186BB1" w:rsidRPr="00B26F8B" w:rsidRDefault="00140307" w:rsidP="00B26F8B">
      <w:pPr>
        <w:pStyle w:val="Lijstalinea"/>
        <w:spacing w:line="240" w:lineRule="atLeast"/>
        <w:ind w:left="360"/>
        <w:contextualSpacing/>
      </w:pPr>
      <w:r w:rsidRPr="00B26F8B">
        <w:t xml:space="preserve">Een hoofddoel van de Herziene woningwet is de versterking van de positie van gemeenten en huurdersorganisaties ten opzichte van de corporaties. </w:t>
      </w:r>
    </w:p>
    <w:p w:rsidR="00186BB1" w:rsidRPr="00B26F8B" w:rsidRDefault="00140307" w:rsidP="00B26F8B">
      <w:pPr>
        <w:pStyle w:val="Lijstalinea"/>
        <w:numPr>
          <w:ilvl w:val="0"/>
          <w:numId w:val="3"/>
        </w:numPr>
        <w:spacing w:line="240" w:lineRule="atLeast"/>
        <w:ind w:left="360"/>
        <w:contextualSpacing/>
      </w:pPr>
      <w:r w:rsidRPr="00B26F8B">
        <w:t>Woonvisies</w:t>
      </w:r>
    </w:p>
    <w:p w:rsidR="00186BB1" w:rsidRPr="00B26F8B" w:rsidRDefault="00140307" w:rsidP="00B26F8B">
      <w:pPr>
        <w:pStyle w:val="Lijstalinea"/>
        <w:spacing w:line="240" w:lineRule="atLeast"/>
        <w:ind w:left="360"/>
        <w:contextualSpacing/>
      </w:pPr>
      <w:r w:rsidRPr="00B26F8B">
        <w:t>De herziene Woningwet neemt het door de gemeente vastgestelde volkshuisvestelijke beleid (de woonvisie) als uitgangspunt voor het lokale overleg om te komen tot prestatieafspraken. In beeld wordt gebracht:</w:t>
      </w:r>
    </w:p>
    <w:p w:rsidR="00186BB1" w:rsidRPr="00B26F8B" w:rsidRDefault="00140307" w:rsidP="00B26F8B">
      <w:pPr>
        <w:pStyle w:val="Lijstalinea"/>
        <w:numPr>
          <w:ilvl w:val="1"/>
          <w:numId w:val="3"/>
        </w:numPr>
        <w:spacing w:line="240" w:lineRule="atLeast"/>
        <w:ind w:left="1080"/>
        <w:contextualSpacing/>
      </w:pPr>
      <w:r w:rsidRPr="00B26F8B">
        <w:t>De ontwikkeling in het aantal vastgestelde woonvisies.</w:t>
      </w:r>
    </w:p>
    <w:p w:rsidR="00186BB1" w:rsidRPr="00B26F8B" w:rsidRDefault="00140307" w:rsidP="00B26F8B">
      <w:pPr>
        <w:pStyle w:val="Lijstalinea"/>
        <w:numPr>
          <w:ilvl w:val="1"/>
          <w:numId w:val="3"/>
        </w:numPr>
        <w:spacing w:line="240" w:lineRule="atLeast"/>
        <w:ind w:left="1080"/>
        <w:contextualSpacing/>
      </w:pPr>
      <w:r w:rsidRPr="00B26F8B">
        <w:t>De ontwikkeling in de mate van concreetheid van de woonvisies.</w:t>
      </w:r>
    </w:p>
    <w:p w:rsidR="00186BB1" w:rsidRPr="00B26F8B" w:rsidRDefault="00140307" w:rsidP="00B26F8B">
      <w:pPr>
        <w:pStyle w:val="Lijstalinea"/>
        <w:numPr>
          <w:ilvl w:val="0"/>
          <w:numId w:val="3"/>
        </w:numPr>
        <w:spacing w:line="240" w:lineRule="atLeast"/>
        <w:ind w:left="360"/>
        <w:contextualSpacing/>
      </w:pPr>
      <w:r w:rsidRPr="00B26F8B">
        <w:t>Prestatieafspraken</w:t>
      </w:r>
    </w:p>
    <w:p w:rsidR="00186BB1" w:rsidRPr="00B26F8B" w:rsidRDefault="00140307" w:rsidP="00B26F8B">
      <w:pPr>
        <w:pStyle w:val="Lijstalinea"/>
        <w:spacing w:line="240" w:lineRule="atLeast"/>
        <w:ind w:left="360"/>
        <w:contextualSpacing/>
      </w:pPr>
      <w:r w:rsidRPr="00B26F8B">
        <w:t>Met de herziene Woningwet zijn prestatieafspraken en het bijbehorende proces wettelijk verankerd. Hiermee is beoogd dat de bijdrage van de corporatie aan het gemeentelijk beleid in gezamenlijk overleg tussen gemeente, corporaties en huurdersorganisaties tot stand komt.</w:t>
      </w:r>
    </w:p>
    <w:p w:rsidR="00186BB1" w:rsidRPr="00B26F8B" w:rsidRDefault="00140307" w:rsidP="00B26F8B">
      <w:pPr>
        <w:pStyle w:val="Lijstalinea"/>
        <w:numPr>
          <w:ilvl w:val="1"/>
          <w:numId w:val="3"/>
        </w:numPr>
        <w:spacing w:line="240" w:lineRule="atLeast"/>
        <w:ind w:left="1080"/>
        <w:contextualSpacing/>
      </w:pPr>
      <w:r w:rsidRPr="00B26F8B">
        <w:t>De ontwikkeling in het aantal gemaakte prestatieafspraken</w:t>
      </w:r>
      <w:r w:rsidR="009507A9">
        <w:t>.</w:t>
      </w:r>
    </w:p>
    <w:p w:rsidR="00186BB1" w:rsidRPr="00B26F8B" w:rsidRDefault="00140307" w:rsidP="00B26F8B">
      <w:pPr>
        <w:pStyle w:val="Lijstalinea"/>
        <w:numPr>
          <w:ilvl w:val="1"/>
          <w:numId w:val="3"/>
        </w:numPr>
        <w:spacing w:line="240" w:lineRule="atLeast"/>
        <w:ind w:left="1080"/>
        <w:contextualSpacing/>
      </w:pPr>
      <w:r w:rsidRPr="00B26F8B">
        <w:t>De ontwikkeling in het aantal geldende prestatieafspraken, bezien vanuit gemeenten, corporaties en huurdersorganisaties.</w:t>
      </w:r>
    </w:p>
    <w:p w:rsidR="00186BB1" w:rsidRPr="00B26F8B" w:rsidRDefault="00140307" w:rsidP="00B26F8B">
      <w:pPr>
        <w:pStyle w:val="Lijstalinea"/>
        <w:numPr>
          <w:ilvl w:val="1"/>
          <w:numId w:val="3"/>
        </w:numPr>
        <w:spacing w:line="240" w:lineRule="atLeast"/>
        <w:ind w:left="1080"/>
        <w:contextualSpacing/>
      </w:pPr>
      <w:r w:rsidRPr="00B26F8B">
        <w:t xml:space="preserve">De ontwikkeling in de mate van concreetheid van de afspraken. </w:t>
      </w:r>
    </w:p>
    <w:p w:rsidR="00186BB1" w:rsidRPr="00B26F8B" w:rsidRDefault="00140307" w:rsidP="00B26F8B">
      <w:pPr>
        <w:pStyle w:val="Lijstalinea"/>
        <w:numPr>
          <w:ilvl w:val="1"/>
          <w:numId w:val="3"/>
        </w:numPr>
        <w:spacing w:line="240" w:lineRule="atLeast"/>
        <w:ind w:left="1080"/>
        <w:contextualSpacing/>
      </w:pPr>
      <w:r w:rsidRPr="00B26F8B">
        <w:t>Type corporatiebezit waarover afspraken zijn gemaakt.</w:t>
      </w:r>
    </w:p>
    <w:p w:rsidR="00186BB1" w:rsidRPr="00B26F8B" w:rsidRDefault="00140307" w:rsidP="00B26F8B">
      <w:pPr>
        <w:pStyle w:val="Lijstalinea"/>
        <w:numPr>
          <w:ilvl w:val="1"/>
          <w:numId w:val="3"/>
        </w:numPr>
        <w:spacing w:line="240" w:lineRule="atLeast"/>
        <w:ind w:left="1080"/>
        <w:contextualSpacing/>
      </w:pPr>
      <w:r w:rsidRPr="00B26F8B">
        <w:t>Wordt de IBW gebruikt door gemeente en huurders om het bod te toetsen.</w:t>
      </w:r>
    </w:p>
    <w:p w:rsidR="00186BB1" w:rsidRPr="00B26F8B" w:rsidRDefault="00140307" w:rsidP="00B26F8B">
      <w:pPr>
        <w:pStyle w:val="Lijstalinea"/>
        <w:numPr>
          <w:ilvl w:val="0"/>
          <w:numId w:val="3"/>
        </w:numPr>
        <w:spacing w:line="240" w:lineRule="atLeast"/>
        <w:ind w:left="360"/>
        <w:contextualSpacing/>
      </w:pPr>
      <w:r w:rsidRPr="00B26F8B">
        <w:t>Rijksprioriteiten</w:t>
      </w:r>
    </w:p>
    <w:p w:rsidR="00186BB1" w:rsidRPr="00B26F8B" w:rsidRDefault="00140307" w:rsidP="00B26F8B">
      <w:pPr>
        <w:pStyle w:val="Lijstalinea"/>
        <w:spacing w:line="240" w:lineRule="atLeast"/>
        <w:ind w:left="360"/>
        <w:contextualSpacing/>
      </w:pPr>
      <w:r w:rsidRPr="00B26F8B">
        <w:t>Op grond van de wetswijziging benoemt de minister als stelselverantwoordelijke periodiek prioriteiten die door corporaties bij hun bod moeten worden betrokken.</w:t>
      </w:r>
    </w:p>
    <w:p w:rsidR="00186BB1" w:rsidRPr="00B26F8B" w:rsidRDefault="00140307" w:rsidP="00B26F8B">
      <w:pPr>
        <w:pStyle w:val="Lijstalinea"/>
        <w:numPr>
          <w:ilvl w:val="1"/>
          <w:numId w:val="3"/>
        </w:numPr>
        <w:spacing w:line="240" w:lineRule="atLeast"/>
        <w:ind w:left="1080"/>
        <w:contextualSpacing/>
      </w:pPr>
      <w:r w:rsidRPr="00B26F8B">
        <w:t>De ontwikkeling in het aantal woonvisies waarin de thema’s zijn opgenomen</w:t>
      </w:r>
    </w:p>
    <w:p w:rsidR="00186BB1" w:rsidRPr="00B26F8B" w:rsidRDefault="00140307" w:rsidP="00B26F8B">
      <w:pPr>
        <w:pStyle w:val="Lijstalinea"/>
        <w:numPr>
          <w:ilvl w:val="1"/>
          <w:numId w:val="3"/>
        </w:numPr>
        <w:spacing w:line="240" w:lineRule="atLeast"/>
        <w:ind w:left="1080"/>
        <w:contextualSpacing/>
      </w:pPr>
      <w:r w:rsidRPr="00B26F8B">
        <w:t>De ontwikkeling in het aantal prestatieafspraken dat op deze them</w:t>
      </w:r>
      <w:r w:rsidR="009507A9">
        <w:t>a’s</w:t>
      </w:r>
      <w:r w:rsidRPr="00B26F8B">
        <w:t xml:space="preserve"> is gemaakt en de mate van concreetheid daarvan.</w:t>
      </w:r>
    </w:p>
    <w:p w:rsidR="00186BB1" w:rsidRPr="00B26F8B" w:rsidRDefault="00140307" w:rsidP="00B26F8B">
      <w:pPr>
        <w:pStyle w:val="Lijstalinea"/>
        <w:numPr>
          <w:ilvl w:val="0"/>
          <w:numId w:val="3"/>
        </w:numPr>
        <w:spacing w:line="240" w:lineRule="atLeast"/>
        <w:ind w:left="360"/>
        <w:contextualSpacing/>
      </w:pPr>
      <w:r w:rsidRPr="00B26F8B">
        <w:t>Betrokkenheid huurders</w:t>
      </w:r>
    </w:p>
    <w:p w:rsidR="00186BB1" w:rsidRPr="00B26F8B" w:rsidRDefault="00140307" w:rsidP="00B26F8B">
      <w:pPr>
        <w:pStyle w:val="Lijstalinea"/>
        <w:spacing w:line="240" w:lineRule="atLeast"/>
        <w:ind w:left="360"/>
        <w:contextualSpacing/>
      </w:pPr>
      <w:r w:rsidRPr="00B26F8B">
        <w:t>Met de inwerkingtreding van de herziene Woningwet op 1 juli 2015 is beoogd de positie van huurders te versterken.</w:t>
      </w:r>
    </w:p>
    <w:p w:rsidR="00186BB1" w:rsidRPr="00B26F8B" w:rsidRDefault="00140307" w:rsidP="00B26F8B">
      <w:pPr>
        <w:pStyle w:val="Lijstalinea"/>
        <w:numPr>
          <w:ilvl w:val="1"/>
          <w:numId w:val="3"/>
        </w:numPr>
        <w:spacing w:line="240" w:lineRule="atLeast"/>
        <w:ind w:left="1080"/>
        <w:contextualSpacing/>
      </w:pPr>
      <w:r w:rsidRPr="00B26F8B">
        <w:t>De ontwikkeling in de mate van betrokkenheid van huurders bij prestatieafspraken.</w:t>
      </w:r>
    </w:p>
    <w:p w:rsidR="00186BB1" w:rsidRPr="00B26F8B" w:rsidRDefault="00140307" w:rsidP="00B26F8B">
      <w:pPr>
        <w:pStyle w:val="Lijstalinea"/>
        <w:numPr>
          <w:ilvl w:val="1"/>
          <w:numId w:val="3"/>
        </w:numPr>
        <w:spacing w:line="240" w:lineRule="atLeast"/>
        <w:ind w:left="1080"/>
        <w:contextualSpacing/>
      </w:pPr>
      <w:r w:rsidRPr="00B26F8B">
        <w:t xml:space="preserve">De ontwikkeling in het huurdersoordeel over de corporatie ten aanzien van </w:t>
      </w:r>
      <w:r w:rsidRPr="00B26F8B">
        <w:rPr>
          <w:i/>
        </w:rPr>
        <w:t>relatie en communicatie</w:t>
      </w:r>
      <w:r w:rsidRPr="00B26F8B">
        <w:t xml:space="preserve"> en </w:t>
      </w:r>
      <w:r w:rsidRPr="00B26F8B">
        <w:rPr>
          <w:i/>
        </w:rPr>
        <w:t>invloed op beleid</w:t>
      </w:r>
      <w:r w:rsidRPr="00B26F8B">
        <w:t>.</w:t>
      </w:r>
    </w:p>
    <w:p w:rsidR="00186BB1" w:rsidRPr="00B26F8B" w:rsidRDefault="00140307" w:rsidP="00B26F8B">
      <w:pPr>
        <w:pStyle w:val="Lijstalinea"/>
        <w:numPr>
          <w:ilvl w:val="0"/>
          <w:numId w:val="3"/>
        </w:numPr>
        <w:spacing w:line="240" w:lineRule="atLeast"/>
        <w:ind w:left="360"/>
        <w:contextualSpacing/>
      </w:pPr>
      <w:r w:rsidRPr="00B26F8B">
        <w:t>Woningmarktregio’s</w:t>
      </w:r>
    </w:p>
    <w:p w:rsidR="00186BB1" w:rsidRPr="00B26F8B" w:rsidRDefault="00140307" w:rsidP="00B26F8B">
      <w:pPr>
        <w:pStyle w:val="Lijstalinea"/>
        <w:spacing w:line="240" w:lineRule="atLeast"/>
        <w:ind w:left="360"/>
        <w:contextualSpacing/>
      </w:pPr>
      <w:r w:rsidRPr="00B26F8B">
        <w:rPr>
          <w:color w:val="000000" w:themeColor="text1"/>
        </w:rPr>
        <w:t xml:space="preserve">Binnen hun kernwerkgebied mogen corporaties in alle gemeenten werken, daarbuiten mogen zij niet langer nieuwe woningen bouwen of vastgoed aankopen. </w:t>
      </w:r>
      <w:r w:rsidRPr="00B26F8B">
        <w:t>Hiermee is beoogd de regionale binding van corporaties te versterken en de focus op het kernwerkgebied te vergroten.</w:t>
      </w:r>
    </w:p>
    <w:p w:rsidR="00186BB1" w:rsidRPr="00B26F8B" w:rsidRDefault="00140307" w:rsidP="00B26F8B">
      <w:pPr>
        <w:pStyle w:val="Lijstalinea"/>
        <w:numPr>
          <w:ilvl w:val="1"/>
          <w:numId w:val="3"/>
        </w:numPr>
        <w:spacing w:line="240" w:lineRule="atLeast"/>
        <w:ind w:left="1080"/>
        <w:contextualSpacing/>
      </w:pPr>
      <w:r w:rsidRPr="00B26F8B">
        <w:t xml:space="preserve">De ontwikkeling in de hoeveelheid woning bezit van corporaties binnen en buiten de nu vastgestelde regio’s. </w:t>
      </w:r>
    </w:p>
    <w:p w:rsidR="00186BB1" w:rsidRPr="00B26F8B" w:rsidRDefault="00140307" w:rsidP="00B26F8B">
      <w:pPr>
        <w:pStyle w:val="Lijstalinea"/>
        <w:numPr>
          <w:ilvl w:val="1"/>
          <w:numId w:val="3"/>
        </w:numPr>
        <w:spacing w:line="240" w:lineRule="atLeast"/>
        <w:ind w:left="1080"/>
        <w:contextualSpacing/>
      </w:pPr>
      <w:r w:rsidRPr="00B26F8B">
        <w:t>De ontwikkeling in de hoeveelheid combinaties van gemeenten en corporaties.</w:t>
      </w:r>
    </w:p>
    <w:p w:rsidR="00186BB1" w:rsidRPr="00B26F8B" w:rsidRDefault="00140307" w:rsidP="00B26F8B">
      <w:pPr>
        <w:pStyle w:val="Lijstalinea"/>
        <w:numPr>
          <w:ilvl w:val="0"/>
          <w:numId w:val="3"/>
        </w:numPr>
        <w:spacing w:line="240" w:lineRule="atLeast"/>
        <w:ind w:left="360"/>
        <w:contextualSpacing/>
      </w:pPr>
      <w:r w:rsidRPr="00B26F8B">
        <w:t>Geschillenbeslechting</w:t>
      </w:r>
    </w:p>
    <w:p w:rsidR="00186BB1" w:rsidRPr="00B26F8B" w:rsidRDefault="00140307" w:rsidP="00B26F8B">
      <w:pPr>
        <w:pStyle w:val="Lijstalinea"/>
        <w:spacing w:line="240" w:lineRule="atLeast"/>
        <w:ind w:left="360"/>
        <w:contextualSpacing/>
      </w:pPr>
      <w:r w:rsidRPr="00B26F8B">
        <w:t>Gemeenten, corporaties en huurdersorganisaties die een geschil rondom prestatieafspraken hebben, kunnen dit voorleggen aan de minister. De Minister wordt geadviseerd door een adviescommissie.</w:t>
      </w:r>
    </w:p>
    <w:p w:rsidR="00186BB1" w:rsidRDefault="00140307" w:rsidP="00B26F8B">
      <w:pPr>
        <w:pStyle w:val="Lijstalinea"/>
        <w:numPr>
          <w:ilvl w:val="1"/>
          <w:numId w:val="3"/>
        </w:numPr>
        <w:spacing w:line="240" w:lineRule="atLeast"/>
        <w:ind w:left="1080"/>
        <w:contextualSpacing/>
      </w:pPr>
      <w:r w:rsidRPr="00B26F8B">
        <w:lastRenderedPageBreak/>
        <w:t xml:space="preserve">Heeft het advies van de geschillencommissie (en het besluit van de minister) alsnog geleid tot prestatieafspraken? </w:t>
      </w:r>
      <w:r w:rsidRPr="00B26F8B">
        <w:br/>
      </w:r>
    </w:p>
    <w:p w:rsidR="00186BB1" w:rsidRPr="00B26F8B" w:rsidRDefault="00140307" w:rsidP="00D513CE">
      <w:pPr>
        <w:pStyle w:val="Lijstalinea"/>
        <w:numPr>
          <w:ilvl w:val="0"/>
          <w:numId w:val="17"/>
        </w:numPr>
        <w:spacing w:line="240" w:lineRule="atLeast"/>
        <w:ind w:left="360"/>
        <w:contextualSpacing/>
      </w:pPr>
      <w:bookmarkStart w:id="0" w:name="_GoBack"/>
      <w:bookmarkEnd w:id="0"/>
      <w:r w:rsidRPr="00B26F8B">
        <w:t>Bescherming maatschappelijk bestemd vermogen en voorkomen marktverstoring</w:t>
      </w:r>
    </w:p>
    <w:p w:rsidR="00186BB1" w:rsidRPr="00B26F8B" w:rsidRDefault="00140307" w:rsidP="00D513CE">
      <w:pPr>
        <w:pStyle w:val="Lijstalinea"/>
        <w:spacing w:line="240" w:lineRule="atLeast"/>
        <w:ind w:left="360"/>
        <w:contextualSpacing/>
      </w:pPr>
      <w:r w:rsidRPr="00B26F8B">
        <w:t>Twee andere hoofddoelen van de herziene Woningwet zijn bescherming van het maatschappelijk bestemd vermogen van corporaties en het voorkomen van marktverstoring door corporaties bij het uitvoeren van taken die niet tot de kerntaak behoren. Deze doelen liggen in het verlengde van het eerste hoofddoel: terug naar de kerntaak.</w:t>
      </w:r>
    </w:p>
    <w:p w:rsidR="00186BB1" w:rsidRPr="00B26F8B" w:rsidRDefault="00140307" w:rsidP="00D513CE">
      <w:pPr>
        <w:pStyle w:val="Lijstalinea"/>
        <w:numPr>
          <w:ilvl w:val="0"/>
          <w:numId w:val="4"/>
        </w:numPr>
        <w:spacing w:line="240" w:lineRule="atLeast"/>
        <w:ind w:left="360"/>
        <w:contextualSpacing/>
      </w:pPr>
      <w:r w:rsidRPr="00B26F8B">
        <w:t>Scheiden/splitsen</w:t>
      </w:r>
    </w:p>
    <w:p w:rsidR="00186BB1" w:rsidRPr="00B26F8B" w:rsidRDefault="00140307" w:rsidP="00D513CE">
      <w:pPr>
        <w:pStyle w:val="Lijstalinea"/>
        <w:spacing w:line="240" w:lineRule="atLeast"/>
        <w:ind w:left="360"/>
        <w:contextualSpacing/>
      </w:pPr>
      <w:r w:rsidRPr="00B26F8B">
        <w:t xml:space="preserve">Corporaties moeten op grond van de wet hun </w:t>
      </w:r>
      <w:proofErr w:type="spellStart"/>
      <w:r w:rsidRPr="00B26F8B">
        <w:t>Daeb</w:t>
      </w:r>
      <w:proofErr w:type="spellEnd"/>
      <w:r w:rsidRPr="00B26F8B">
        <w:t>- en niet-</w:t>
      </w:r>
      <w:proofErr w:type="spellStart"/>
      <w:r w:rsidRPr="00B26F8B">
        <w:t>Daeb</w:t>
      </w:r>
      <w:proofErr w:type="spellEnd"/>
      <w:r w:rsidRPr="00B26F8B">
        <w:t xml:space="preserve"> activiteiten scheiden. Met deze verplichting is beoogd een striktere scheiding aan te brengen tussen de activiteiten van corporaties die behoren tot de kerntaak en de activiteiten die daar niet toe behoren.</w:t>
      </w:r>
    </w:p>
    <w:p w:rsidR="00186BB1" w:rsidRPr="00B26F8B" w:rsidRDefault="00140307" w:rsidP="00D513CE">
      <w:pPr>
        <w:pStyle w:val="Lijstalinea"/>
        <w:numPr>
          <w:ilvl w:val="1"/>
          <w:numId w:val="4"/>
        </w:numPr>
        <w:spacing w:line="240" w:lineRule="atLeast"/>
        <w:ind w:left="1080"/>
        <w:contextualSpacing/>
      </w:pPr>
      <w:r w:rsidRPr="00B26F8B">
        <w:t xml:space="preserve">Welke wijze van scheiding hebben corporaties gekozen. </w:t>
      </w:r>
    </w:p>
    <w:p w:rsidR="00186BB1" w:rsidRPr="00B26F8B" w:rsidRDefault="00140307" w:rsidP="00B26F8B">
      <w:pPr>
        <w:pStyle w:val="Lijstalinea"/>
        <w:numPr>
          <w:ilvl w:val="1"/>
          <w:numId w:val="4"/>
        </w:numPr>
        <w:spacing w:line="240" w:lineRule="atLeast"/>
        <w:ind w:left="1080"/>
        <w:contextualSpacing/>
      </w:pPr>
      <w:r w:rsidRPr="00B26F8B">
        <w:t xml:space="preserve">Hoeveel woningen en overig vastgoed zijn overgegaan van </w:t>
      </w:r>
      <w:proofErr w:type="spellStart"/>
      <w:r w:rsidRPr="00B26F8B">
        <w:t>Daeb</w:t>
      </w:r>
      <w:proofErr w:type="spellEnd"/>
      <w:r w:rsidRPr="00B26F8B">
        <w:t xml:space="preserve"> naar niet-</w:t>
      </w:r>
      <w:proofErr w:type="spellStart"/>
      <w:r w:rsidRPr="00B26F8B">
        <w:t>Daeb</w:t>
      </w:r>
      <w:proofErr w:type="spellEnd"/>
      <w:r w:rsidRPr="00B26F8B">
        <w:t xml:space="preserve"> (of andersom). </w:t>
      </w:r>
    </w:p>
    <w:p w:rsidR="00186BB1" w:rsidRPr="00B26F8B" w:rsidRDefault="00140307" w:rsidP="00B26F8B">
      <w:pPr>
        <w:pStyle w:val="Lijstalinea"/>
        <w:numPr>
          <w:ilvl w:val="0"/>
          <w:numId w:val="4"/>
        </w:numPr>
        <w:spacing w:line="240" w:lineRule="atLeast"/>
        <w:ind w:left="360"/>
        <w:contextualSpacing/>
      </w:pPr>
      <w:r w:rsidRPr="00B26F8B">
        <w:t>Markttoets</w:t>
      </w:r>
    </w:p>
    <w:p w:rsidR="00186BB1" w:rsidRPr="00B26F8B" w:rsidRDefault="00140307" w:rsidP="00B26F8B">
      <w:pPr>
        <w:pStyle w:val="Lijstalinea"/>
        <w:spacing w:line="240" w:lineRule="atLeast"/>
        <w:ind w:left="360"/>
        <w:contextualSpacing/>
      </w:pPr>
      <w:r w:rsidRPr="00B26F8B">
        <w:t>De gemeente beoordeelt met een markttoets of er andere partijen dan de corporatie belangstelling hebben om een gewenste niet-</w:t>
      </w:r>
      <w:proofErr w:type="spellStart"/>
      <w:r w:rsidRPr="00B26F8B">
        <w:t>D</w:t>
      </w:r>
      <w:r w:rsidR="00A2794A">
        <w:t>aeb</w:t>
      </w:r>
      <w:proofErr w:type="spellEnd"/>
      <w:r w:rsidRPr="00B26F8B">
        <w:t xml:space="preserve"> activiteit uit te voeren. Pas als dit niet het geval is, komt de corporatie in aanmerking om dit te doen, vanuit de niet-DAEB tak. </w:t>
      </w:r>
    </w:p>
    <w:p w:rsidR="00186BB1" w:rsidRPr="00B26F8B" w:rsidRDefault="00140307" w:rsidP="00B26F8B">
      <w:pPr>
        <w:pStyle w:val="Lijstalinea"/>
        <w:numPr>
          <w:ilvl w:val="1"/>
          <w:numId w:val="4"/>
        </w:numPr>
        <w:spacing w:line="240" w:lineRule="atLeast"/>
        <w:ind w:left="1080"/>
        <w:contextualSpacing/>
      </w:pPr>
      <w:r w:rsidRPr="00B26F8B">
        <w:t xml:space="preserve">Hoe vaak is een markttoets gedaan? </w:t>
      </w:r>
    </w:p>
    <w:p w:rsidR="00186BB1" w:rsidRPr="00B26F8B" w:rsidRDefault="00140307" w:rsidP="00B26F8B">
      <w:pPr>
        <w:pStyle w:val="Lijstalinea"/>
        <w:numPr>
          <w:ilvl w:val="1"/>
          <w:numId w:val="4"/>
        </w:numPr>
        <w:spacing w:line="240" w:lineRule="atLeast"/>
        <w:ind w:left="1080"/>
        <w:contextualSpacing/>
      </w:pPr>
      <w:r w:rsidRPr="00B26F8B">
        <w:t>Hoe vaak is goedkeuring voor niet-</w:t>
      </w:r>
      <w:proofErr w:type="spellStart"/>
      <w:r w:rsidRPr="00B26F8B">
        <w:t>D</w:t>
      </w:r>
      <w:r w:rsidR="00A2794A">
        <w:t>aeb</w:t>
      </w:r>
      <w:proofErr w:type="spellEnd"/>
      <w:r w:rsidRPr="00B26F8B">
        <w:t xml:space="preserve">-activiteiten gevraagd bij de </w:t>
      </w:r>
      <w:proofErr w:type="spellStart"/>
      <w:r w:rsidRPr="00B26F8B">
        <w:t>Aw</w:t>
      </w:r>
      <w:proofErr w:type="spellEnd"/>
      <w:r w:rsidRPr="00B26F8B">
        <w:t xml:space="preserve">? </w:t>
      </w:r>
    </w:p>
    <w:p w:rsidR="00186BB1" w:rsidRPr="00B26F8B" w:rsidRDefault="00140307" w:rsidP="00B26F8B">
      <w:pPr>
        <w:pStyle w:val="Lijstalinea"/>
        <w:numPr>
          <w:ilvl w:val="1"/>
          <w:numId w:val="4"/>
        </w:numPr>
        <w:spacing w:line="240" w:lineRule="atLeast"/>
        <w:ind w:left="1080"/>
        <w:contextualSpacing/>
      </w:pPr>
      <w:r w:rsidRPr="00B26F8B">
        <w:t xml:space="preserve">Hoe vaak is door marktpartijen bezwaar gemaakt bij de </w:t>
      </w:r>
      <w:proofErr w:type="spellStart"/>
      <w:r w:rsidRPr="00B26F8B">
        <w:t>Aw</w:t>
      </w:r>
      <w:proofErr w:type="spellEnd"/>
      <w:r w:rsidRPr="00B26F8B">
        <w:t xml:space="preserve"> tegen een goedkeuring? </w:t>
      </w:r>
    </w:p>
    <w:p w:rsidR="00186BB1" w:rsidRPr="00B26F8B" w:rsidRDefault="00140307" w:rsidP="00B26F8B">
      <w:pPr>
        <w:pStyle w:val="Lijstalinea"/>
        <w:numPr>
          <w:ilvl w:val="0"/>
          <w:numId w:val="4"/>
        </w:numPr>
        <w:spacing w:line="240" w:lineRule="atLeast"/>
        <w:ind w:left="360"/>
        <w:contextualSpacing/>
      </w:pPr>
      <w:r w:rsidRPr="00B26F8B">
        <w:t>Rendement corporaties op de niet-</w:t>
      </w:r>
      <w:proofErr w:type="spellStart"/>
      <w:r w:rsidRPr="00B26F8B">
        <w:t>Daeb</w:t>
      </w:r>
      <w:proofErr w:type="spellEnd"/>
    </w:p>
    <w:p w:rsidR="00186BB1" w:rsidRPr="00B26F8B" w:rsidRDefault="00140307" w:rsidP="00B26F8B">
      <w:pPr>
        <w:pStyle w:val="Lijstalinea"/>
        <w:spacing w:line="240" w:lineRule="atLeast"/>
        <w:ind w:left="360"/>
        <w:contextualSpacing/>
      </w:pPr>
      <w:r w:rsidRPr="00B26F8B">
        <w:t>In de herziene Woningwet worden rendementseisen gesteld aan de commerciële activiteiten van corporaties om marktverstoring te voorkomen.</w:t>
      </w:r>
    </w:p>
    <w:p w:rsidR="00186BB1" w:rsidRPr="00B26F8B" w:rsidRDefault="00140307" w:rsidP="00B26F8B">
      <w:pPr>
        <w:pStyle w:val="Lijstalinea"/>
        <w:numPr>
          <w:ilvl w:val="1"/>
          <w:numId w:val="4"/>
        </w:numPr>
        <w:spacing w:line="240" w:lineRule="atLeast"/>
        <w:ind w:left="1080"/>
        <w:contextualSpacing/>
      </w:pPr>
      <w:r w:rsidRPr="00B26F8B">
        <w:t>Wat is het rendement in niet-</w:t>
      </w:r>
      <w:proofErr w:type="spellStart"/>
      <w:r w:rsidRPr="00B26F8B">
        <w:t>D</w:t>
      </w:r>
      <w:r w:rsidR="00A2794A">
        <w:t>aeb</w:t>
      </w:r>
      <w:proofErr w:type="spellEnd"/>
      <w:r w:rsidR="00A2794A">
        <w:t>?</w:t>
      </w:r>
    </w:p>
    <w:p w:rsidR="00186BB1" w:rsidRPr="00B26F8B" w:rsidRDefault="00140307" w:rsidP="00B26F8B">
      <w:pPr>
        <w:pStyle w:val="Lijstalinea"/>
        <w:numPr>
          <w:ilvl w:val="2"/>
          <w:numId w:val="4"/>
        </w:numPr>
        <w:spacing w:line="240" w:lineRule="atLeast"/>
        <w:ind w:left="1800"/>
        <w:contextualSpacing/>
      </w:pPr>
      <w:r w:rsidRPr="00B26F8B">
        <w:t>Hoe verhoudt dit zich to</w:t>
      </w:r>
      <w:r w:rsidR="009507A9">
        <w:t>t</w:t>
      </w:r>
      <w:r w:rsidRPr="00B26F8B">
        <w:t xml:space="preserve"> het rendement van marktpartijen</w:t>
      </w:r>
      <w:r w:rsidR="00A2794A">
        <w:t>?</w:t>
      </w:r>
    </w:p>
    <w:p w:rsidR="00186BB1" w:rsidRPr="00B26F8B" w:rsidRDefault="00140307" w:rsidP="00B26F8B">
      <w:pPr>
        <w:pStyle w:val="Lijstalinea"/>
        <w:numPr>
          <w:ilvl w:val="2"/>
          <w:numId w:val="4"/>
        </w:numPr>
        <w:spacing w:line="240" w:lineRule="atLeast"/>
        <w:ind w:left="1800"/>
        <w:contextualSpacing/>
      </w:pPr>
      <w:r w:rsidRPr="00B26F8B">
        <w:t xml:space="preserve">Hoe verhoudt dit zich tot het rendement op de </w:t>
      </w:r>
      <w:proofErr w:type="spellStart"/>
      <w:r w:rsidRPr="00B26F8B">
        <w:t>Daeb</w:t>
      </w:r>
      <w:proofErr w:type="spellEnd"/>
      <w:r w:rsidR="00A2794A">
        <w:t>?</w:t>
      </w:r>
    </w:p>
    <w:p w:rsidR="00186BB1" w:rsidRPr="00B26F8B" w:rsidRDefault="00140307" w:rsidP="00B26F8B">
      <w:pPr>
        <w:pStyle w:val="Lijstalinea"/>
        <w:numPr>
          <w:ilvl w:val="1"/>
          <w:numId w:val="4"/>
        </w:numPr>
        <w:spacing w:line="240" w:lineRule="atLeast"/>
        <w:ind w:left="1080"/>
        <w:contextualSpacing/>
      </w:pPr>
      <w:r w:rsidRPr="00B26F8B">
        <w:t>Hoe verhouden de huurprijzen na mutatie zich t.o.v. die van marktpartijen (bij gelijke woningen)</w:t>
      </w:r>
      <w:r w:rsidR="00A2794A">
        <w:t>?</w:t>
      </w:r>
    </w:p>
    <w:p w:rsidR="00186BB1" w:rsidRPr="00B26F8B" w:rsidRDefault="00140307" w:rsidP="00B26F8B">
      <w:pPr>
        <w:pStyle w:val="Lijstalinea"/>
        <w:numPr>
          <w:ilvl w:val="0"/>
          <w:numId w:val="4"/>
        </w:numPr>
        <w:spacing w:line="240" w:lineRule="atLeast"/>
        <w:ind w:left="360"/>
        <w:contextualSpacing/>
      </w:pPr>
      <w:r w:rsidRPr="00B26F8B">
        <w:t>Investeringen corporaties in de niet-</w:t>
      </w:r>
      <w:proofErr w:type="spellStart"/>
      <w:r w:rsidRPr="00B26F8B">
        <w:t>Daeb</w:t>
      </w:r>
      <w:proofErr w:type="spellEnd"/>
    </w:p>
    <w:p w:rsidR="00186BB1" w:rsidRPr="00B26F8B" w:rsidRDefault="00140307" w:rsidP="00B26F8B">
      <w:pPr>
        <w:pStyle w:val="Lijstalinea"/>
        <w:spacing w:line="240" w:lineRule="atLeast"/>
        <w:ind w:left="360"/>
        <w:contextualSpacing/>
      </w:pPr>
      <w:r w:rsidRPr="00B26F8B">
        <w:t>Met de herziene woningwet zijn de regels ten aanzien van het investeren in niet-</w:t>
      </w:r>
      <w:proofErr w:type="spellStart"/>
      <w:r w:rsidRPr="00B26F8B">
        <w:t>Daeb</w:t>
      </w:r>
      <w:proofErr w:type="spellEnd"/>
      <w:r w:rsidRPr="00B26F8B">
        <w:t xml:space="preserve"> aangescherpt.</w:t>
      </w:r>
    </w:p>
    <w:p w:rsidR="00186BB1" w:rsidRPr="00B26F8B" w:rsidRDefault="00140307" w:rsidP="00B26F8B">
      <w:pPr>
        <w:pStyle w:val="Lijstalinea"/>
        <w:numPr>
          <w:ilvl w:val="1"/>
          <w:numId w:val="4"/>
        </w:numPr>
        <w:spacing w:line="240" w:lineRule="atLeast"/>
        <w:ind w:left="1080"/>
        <w:contextualSpacing/>
      </w:pPr>
      <w:r w:rsidRPr="00B26F8B">
        <w:t>De ontwikkeling van de omvang van investeringen in de niet-</w:t>
      </w:r>
      <w:proofErr w:type="spellStart"/>
      <w:r w:rsidRPr="00B26F8B">
        <w:t>Daeb</w:t>
      </w:r>
      <w:proofErr w:type="spellEnd"/>
      <w:r w:rsidRPr="00B26F8B">
        <w:t>.</w:t>
      </w:r>
    </w:p>
    <w:p w:rsidR="00186BB1" w:rsidRPr="00B26F8B" w:rsidRDefault="009507A9" w:rsidP="00B26F8B">
      <w:pPr>
        <w:pStyle w:val="Lijstalinea"/>
        <w:numPr>
          <w:ilvl w:val="0"/>
          <w:numId w:val="4"/>
        </w:numPr>
        <w:spacing w:line="240" w:lineRule="atLeast"/>
        <w:ind w:left="360"/>
        <w:contextualSpacing/>
      </w:pPr>
      <w:r w:rsidRPr="00B26F8B">
        <w:t>Financiële</w:t>
      </w:r>
      <w:r w:rsidR="00140307" w:rsidRPr="00B26F8B">
        <w:t xml:space="preserve"> ratio’s</w:t>
      </w:r>
    </w:p>
    <w:p w:rsidR="00186BB1" w:rsidRPr="00B26F8B" w:rsidRDefault="00140307" w:rsidP="00812D33">
      <w:pPr>
        <w:pStyle w:val="Lijstalinea"/>
        <w:spacing w:line="240" w:lineRule="atLeast"/>
        <w:ind w:left="360"/>
        <w:contextualSpacing/>
      </w:pPr>
      <w:proofErr w:type="spellStart"/>
      <w:r w:rsidRPr="00B26F8B">
        <w:t>Aw</w:t>
      </w:r>
      <w:proofErr w:type="spellEnd"/>
      <w:r w:rsidRPr="00B26F8B">
        <w:t xml:space="preserve"> en WSW beoordelen de </w:t>
      </w:r>
      <w:r w:rsidR="00812D33" w:rsidRPr="00B26F8B">
        <w:t>financiële</w:t>
      </w:r>
      <w:r w:rsidRPr="00B26F8B">
        <w:t xml:space="preserve"> ratio</w:t>
      </w:r>
      <w:r w:rsidR="00812D33">
        <w:t>’</w:t>
      </w:r>
      <w:r w:rsidRPr="00B26F8B">
        <w:t>s</w:t>
      </w:r>
      <w:r w:rsidR="00812D33">
        <w:t xml:space="preserve"> van corporaties</w:t>
      </w:r>
      <w:r w:rsidRPr="00B26F8B">
        <w:t xml:space="preserve">. Deze ratio’s zijn niet wettelijk vastgelegd. Wanneer </w:t>
      </w:r>
      <w:r w:rsidR="00A2794A" w:rsidRPr="00B26F8B">
        <w:t>corporaties</w:t>
      </w:r>
      <w:r w:rsidRPr="00B26F8B">
        <w:t xml:space="preserve"> er financieel beter voorstaan loopt het maatschappelijk bestemd vermogen minder risico.</w:t>
      </w:r>
    </w:p>
    <w:p w:rsidR="00186BB1" w:rsidRPr="00B26F8B" w:rsidRDefault="00140307" w:rsidP="00B26F8B">
      <w:pPr>
        <w:pStyle w:val="Lijstalinea"/>
        <w:numPr>
          <w:ilvl w:val="1"/>
          <w:numId w:val="4"/>
        </w:numPr>
        <w:spacing w:line="240" w:lineRule="atLeast"/>
        <w:ind w:left="1080"/>
        <w:contextualSpacing/>
      </w:pPr>
      <w:r w:rsidRPr="00B26F8B">
        <w:t xml:space="preserve">De ontwikkeling van </w:t>
      </w:r>
      <w:r w:rsidR="00A2794A">
        <w:t>c</w:t>
      </w:r>
      <w:r w:rsidRPr="00B26F8B">
        <w:t xml:space="preserve">orporaties op de </w:t>
      </w:r>
      <w:r w:rsidR="009507A9" w:rsidRPr="00B26F8B">
        <w:t>financiële</w:t>
      </w:r>
      <w:r w:rsidRPr="00B26F8B">
        <w:t xml:space="preserve"> ratio’s.</w:t>
      </w:r>
    </w:p>
    <w:p w:rsidR="00186BB1" w:rsidRPr="00B26F8B" w:rsidRDefault="00186BB1" w:rsidP="00B26F8B">
      <w:pPr>
        <w:spacing w:line="240" w:lineRule="atLeast"/>
        <w:contextualSpacing/>
      </w:pPr>
    </w:p>
    <w:p w:rsidR="00186BB1" w:rsidRPr="00B26F8B" w:rsidRDefault="00140307" w:rsidP="00315D89">
      <w:pPr>
        <w:pStyle w:val="Lijstalinea"/>
        <w:numPr>
          <w:ilvl w:val="0"/>
          <w:numId w:val="17"/>
        </w:numPr>
        <w:spacing w:line="240" w:lineRule="atLeast"/>
        <w:ind w:left="360"/>
        <w:contextualSpacing/>
      </w:pPr>
      <w:r w:rsidRPr="00B26F8B">
        <w:t xml:space="preserve">Verbetering van </w:t>
      </w:r>
      <w:proofErr w:type="spellStart"/>
      <w:r w:rsidRPr="00B26F8B">
        <w:t>governance</w:t>
      </w:r>
      <w:proofErr w:type="spellEnd"/>
      <w:r w:rsidRPr="00B26F8B">
        <w:t xml:space="preserve"> en intern toezicht</w:t>
      </w:r>
    </w:p>
    <w:p w:rsidR="00186BB1" w:rsidRPr="00B26F8B" w:rsidRDefault="00140307" w:rsidP="00315D89">
      <w:pPr>
        <w:pStyle w:val="Lijstalinea"/>
        <w:spacing w:line="240" w:lineRule="atLeast"/>
        <w:ind w:left="360"/>
        <w:contextualSpacing/>
      </w:pPr>
      <w:r w:rsidRPr="00B26F8B">
        <w:t xml:space="preserve">Bij de herziening van de Woningwet zijn diverse maatregelen genomen en eisen gesteld om de </w:t>
      </w:r>
      <w:proofErr w:type="spellStart"/>
      <w:r w:rsidRPr="00B26F8B">
        <w:t>governance</w:t>
      </w:r>
      <w:proofErr w:type="spellEnd"/>
      <w:r w:rsidRPr="00B26F8B">
        <w:t xml:space="preserve"> en het intern toezicht bij woningcorporaties te versterken en verbeteren.</w:t>
      </w:r>
    </w:p>
    <w:p w:rsidR="00186BB1" w:rsidRPr="00B26F8B" w:rsidRDefault="00140307" w:rsidP="00315D89">
      <w:pPr>
        <w:pStyle w:val="Lijstalinea"/>
        <w:numPr>
          <w:ilvl w:val="0"/>
          <w:numId w:val="5"/>
        </w:numPr>
        <w:spacing w:line="240" w:lineRule="atLeast"/>
        <w:ind w:left="360"/>
        <w:contextualSpacing/>
      </w:pPr>
      <w:r w:rsidRPr="00B26F8B">
        <w:t>Geschiktheids- en betrouwbaarheidstoetsen voor bestuurders en commissarissen.</w:t>
      </w:r>
    </w:p>
    <w:p w:rsidR="00186BB1" w:rsidRPr="00B26F8B" w:rsidRDefault="00140307" w:rsidP="00315D89">
      <w:pPr>
        <w:pStyle w:val="Lijstalinea"/>
        <w:spacing w:line="240" w:lineRule="atLeast"/>
        <w:ind w:left="360"/>
        <w:contextualSpacing/>
      </w:pPr>
      <w:r w:rsidRPr="00B26F8B">
        <w:t>Met de wetswijziging is een geschiktheid en betrouwbaarheidstoets verplicht voor benoemingen en herbenoemingen van bestuurders en commissarissen bij corporaties.</w:t>
      </w:r>
    </w:p>
    <w:p w:rsidR="00186BB1" w:rsidRPr="00B26F8B" w:rsidRDefault="00140307" w:rsidP="00315D89">
      <w:pPr>
        <w:pStyle w:val="Lijstalinea"/>
        <w:numPr>
          <w:ilvl w:val="1"/>
          <w:numId w:val="5"/>
        </w:numPr>
        <w:spacing w:line="240" w:lineRule="atLeast"/>
        <w:ind w:left="1080"/>
        <w:contextualSpacing/>
      </w:pPr>
      <w:r w:rsidRPr="00B26F8B">
        <w:t>Het aantal aanvragen</w:t>
      </w:r>
      <w:r w:rsidR="00A2794A">
        <w:t>.</w:t>
      </w:r>
    </w:p>
    <w:p w:rsidR="00186BB1" w:rsidRPr="00B26F8B" w:rsidRDefault="00140307" w:rsidP="00315D89">
      <w:pPr>
        <w:pStyle w:val="Lijstalinea"/>
        <w:numPr>
          <w:ilvl w:val="1"/>
          <w:numId w:val="5"/>
        </w:numPr>
        <w:spacing w:line="240" w:lineRule="atLeast"/>
        <w:ind w:left="1080"/>
        <w:contextualSpacing/>
      </w:pPr>
      <w:r w:rsidRPr="00B26F8B">
        <w:t xml:space="preserve">Het oordeel van de </w:t>
      </w:r>
      <w:proofErr w:type="spellStart"/>
      <w:r w:rsidRPr="00B26F8B">
        <w:t>Aw</w:t>
      </w:r>
      <w:proofErr w:type="spellEnd"/>
      <w:r w:rsidRPr="00B26F8B">
        <w:t xml:space="preserve"> op de aanvragen</w:t>
      </w:r>
      <w:r w:rsidR="00A2794A">
        <w:t>.</w:t>
      </w:r>
    </w:p>
    <w:p w:rsidR="00186BB1" w:rsidRPr="00B26F8B" w:rsidRDefault="00140307" w:rsidP="00315D89">
      <w:pPr>
        <w:pStyle w:val="Lijstalinea"/>
        <w:numPr>
          <w:ilvl w:val="0"/>
          <w:numId w:val="5"/>
        </w:numPr>
        <w:spacing w:line="240" w:lineRule="atLeast"/>
        <w:ind w:left="360"/>
        <w:contextualSpacing/>
      </w:pPr>
      <w:proofErr w:type="spellStart"/>
      <w:r w:rsidRPr="00B26F8B">
        <w:t>Toezichtsbrieven</w:t>
      </w:r>
      <w:proofErr w:type="spellEnd"/>
    </w:p>
    <w:p w:rsidR="00186BB1" w:rsidRPr="00B26F8B" w:rsidRDefault="00140307" w:rsidP="00315D89">
      <w:pPr>
        <w:pStyle w:val="Lijstalinea"/>
        <w:spacing w:line="240" w:lineRule="atLeast"/>
        <w:ind w:left="360"/>
        <w:contextualSpacing/>
      </w:pPr>
      <w:r w:rsidRPr="00B26F8B">
        <w:t xml:space="preserve">De Autoriteit woningcorporaties stuurt sinds 2016 jaarlijks aan alle corporaties een integrale </w:t>
      </w:r>
      <w:proofErr w:type="spellStart"/>
      <w:r w:rsidRPr="00B26F8B">
        <w:t>toezichtsbrief</w:t>
      </w:r>
      <w:proofErr w:type="spellEnd"/>
      <w:r w:rsidRPr="00B26F8B">
        <w:t xml:space="preserve">, tot en met 2015 ontvingen corporaties twee oordeelsbrieven (1. financieel en 2. rechtmatigheid, </w:t>
      </w:r>
      <w:proofErr w:type="spellStart"/>
      <w:r w:rsidRPr="00B26F8B">
        <w:t>governance</w:t>
      </w:r>
      <w:proofErr w:type="spellEnd"/>
      <w:r w:rsidRPr="00B26F8B">
        <w:t xml:space="preserve"> en integriteit). Hierin wordt Op basis van De bevindingen in het integrale toezicht dat jaar een oordeel gegeven over de corporatie. Dit oordeel kan interventies of </w:t>
      </w:r>
      <w:r w:rsidRPr="00B26F8B">
        <w:lastRenderedPageBreak/>
        <w:t>waarschuwende opmerkingen bevatten. Deze opmerkingen kunnen betrekking hebben op het intern toezicht.</w:t>
      </w:r>
    </w:p>
    <w:p w:rsidR="00186BB1" w:rsidRPr="00B26F8B" w:rsidRDefault="00140307" w:rsidP="00315D89">
      <w:pPr>
        <w:pStyle w:val="Lijstalinea"/>
        <w:numPr>
          <w:ilvl w:val="1"/>
          <w:numId w:val="19"/>
        </w:numPr>
        <w:spacing w:line="240" w:lineRule="atLeast"/>
        <w:ind w:left="1080"/>
        <w:contextualSpacing/>
      </w:pPr>
      <w:r w:rsidRPr="00B26F8B">
        <w:t>Aantal opmerkingen totaal</w:t>
      </w:r>
    </w:p>
    <w:p w:rsidR="00186BB1" w:rsidRDefault="00140307" w:rsidP="00D513CE">
      <w:pPr>
        <w:pStyle w:val="Lijstalinea"/>
        <w:numPr>
          <w:ilvl w:val="1"/>
          <w:numId w:val="19"/>
        </w:numPr>
        <w:spacing w:line="240" w:lineRule="atLeast"/>
        <w:ind w:left="1080"/>
        <w:contextualSpacing/>
      </w:pPr>
      <w:r w:rsidRPr="00B26F8B">
        <w:t xml:space="preserve">Aantal opmerkingen met </w:t>
      </w:r>
      <w:r w:rsidR="009507A9" w:rsidRPr="00B26F8B">
        <w:t>betrekking</w:t>
      </w:r>
      <w:r w:rsidRPr="00B26F8B">
        <w:t xml:space="preserve"> tot het intern toezicht</w:t>
      </w:r>
    </w:p>
    <w:p w:rsidR="00186BB1" w:rsidRPr="00B26F8B" w:rsidRDefault="00140307" w:rsidP="00D513CE">
      <w:pPr>
        <w:pStyle w:val="Lijstalinea"/>
        <w:numPr>
          <w:ilvl w:val="0"/>
          <w:numId w:val="5"/>
        </w:numPr>
        <w:spacing w:line="240" w:lineRule="atLeast"/>
        <w:ind w:left="360"/>
        <w:contextualSpacing/>
      </w:pPr>
      <w:r w:rsidRPr="00B26F8B">
        <w:t>Visitaties</w:t>
      </w:r>
    </w:p>
    <w:p w:rsidR="00186BB1" w:rsidRPr="00B26F8B" w:rsidRDefault="00140307" w:rsidP="00D513CE">
      <w:pPr>
        <w:pStyle w:val="Lijstalinea"/>
        <w:spacing w:line="240" w:lineRule="atLeast"/>
        <w:ind w:left="360"/>
        <w:contextualSpacing/>
      </w:pPr>
      <w:r w:rsidRPr="00B26F8B">
        <w:t xml:space="preserve">In de herziene Woningwet is vierjaarlijkse visitatie verplicht gesteld met als doel de volkshuisvestelijke prestaties van de woningcorporatie te onderzoeken. De visitatie levert onder meer een oordeel op over de kwaliteit van de </w:t>
      </w:r>
      <w:proofErr w:type="spellStart"/>
      <w:r w:rsidRPr="00B26F8B">
        <w:t>governance</w:t>
      </w:r>
      <w:proofErr w:type="spellEnd"/>
      <w:r w:rsidRPr="00B26F8B">
        <w:t>. De visitatie kan ook als input dienen vo</w:t>
      </w:r>
      <w:r w:rsidR="009507A9">
        <w:t>o</w:t>
      </w:r>
      <w:r w:rsidRPr="00B26F8B">
        <w:t xml:space="preserve">r het toezicht door de </w:t>
      </w:r>
      <w:proofErr w:type="spellStart"/>
      <w:r w:rsidRPr="00B26F8B">
        <w:t>Aw</w:t>
      </w:r>
      <w:proofErr w:type="spellEnd"/>
      <w:r w:rsidRPr="00B26F8B">
        <w:t>.</w:t>
      </w:r>
    </w:p>
    <w:p w:rsidR="00186BB1" w:rsidRPr="00B26F8B" w:rsidRDefault="00140307" w:rsidP="00D513CE">
      <w:pPr>
        <w:pStyle w:val="Lijstalinea"/>
        <w:numPr>
          <w:ilvl w:val="1"/>
          <w:numId w:val="20"/>
        </w:numPr>
        <w:spacing w:line="240" w:lineRule="atLeast"/>
        <w:ind w:left="1080"/>
        <w:contextualSpacing/>
      </w:pPr>
      <w:r w:rsidRPr="00B26F8B">
        <w:t>Aantal corporaties dat is gevisiteerd</w:t>
      </w:r>
      <w:r w:rsidR="00A2794A">
        <w:t>.</w:t>
      </w:r>
    </w:p>
    <w:p w:rsidR="00186BB1" w:rsidRPr="00B26F8B" w:rsidRDefault="00140307" w:rsidP="00D513CE">
      <w:pPr>
        <w:pStyle w:val="Lijstalinea"/>
        <w:numPr>
          <w:ilvl w:val="0"/>
          <w:numId w:val="5"/>
        </w:numPr>
        <w:spacing w:line="240" w:lineRule="atLeast"/>
        <w:ind w:left="360"/>
        <w:contextualSpacing/>
      </w:pPr>
      <w:r w:rsidRPr="00B26F8B">
        <w:t>Meldingen</w:t>
      </w:r>
    </w:p>
    <w:p w:rsidR="00186BB1" w:rsidRPr="00B26F8B" w:rsidRDefault="00140307" w:rsidP="00B26F8B">
      <w:pPr>
        <w:pStyle w:val="Lijstalinea"/>
        <w:spacing w:line="240" w:lineRule="atLeast"/>
        <w:ind w:left="360"/>
        <w:contextualSpacing/>
      </w:pPr>
      <w:r w:rsidRPr="00B26F8B">
        <w:t xml:space="preserve">Op grond van de herziene Woningwet moet een RvC bepaalde ernstige zaken melden bij de </w:t>
      </w:r>
      <w:proofErr w:type="spellStart"/>
      <w:r w:rsidRPr="00B26F8B">
        <w:t>Aw</w:t>
      </w:r>
      <w:proofErr w:type="spellEnd"/>
      <w:r w:rsidRPr="00B26F8B">
        <w:t xml:space="preserve">, wanneer bestuur en RvC er samen niet uit komen. Hiermee is beoogd te waarborgen dat problemen tijdig aan het licht komen. Ook kan een ieder die vermoedens heeft van fraude met het vermogen van een woningcorporatie of van zelfverrijking terecht bij het Meldpunt Integriteit Woningcorporaties van de </w:t>
      </w:r>
      <w:proofErr w:type="spellStart"/>
      <w:r w:rsidRPr="00B26F8B">
        <w:t>Aw</w:t>
      </w:r>
      <w:proofErr w:type="spellEnd"/>
      <w:r w:rsidRPr="00B26F8B">
        <w:t xml:space="preserve">. </w:t>
      </w:r>
    </w:p>
    <w:p w:rsidR="00186BB1" w:rsidRPr="00B26F8B" w:rsidRDefault="00140307" w:rsidP="00B26F8B">
      <w:pPr>
        <w:pStyle w:val="Lijstalinea"/>
        <w:numPr>
          <w:ilvl w:val="1"/>
          <w:numId w:val="21"/>
        </w:numPr>
        <w:spacing w:line="240" w:lineRule="atLeast"/>
        <w:ind w:left="1080"/>
        <w:contextualSpacing/>
      </w:pPr>
      <w:r w:rsidRPr="00B26F8B">
        <w:t xml:space="preserve">Meldingen door de RvC aan de </w:t>
      </w:r>
      <w:proofErr w:type="spellStart"/>
      <w:r w:rsidRPr="00B26F8B">
        <w:t>Aw</w:t>
      </w:r>
      <w:proofErr w:type="spellEnd"/>
      <w:r w:rsidR="00954552">
        <w:t xml:space="preserve"> (aard/aantal/interventie </w:t>
      </w:r>
      <w:proofErr w:type="spellStart"/>
      <w:r w:rsidR="00954552">
        <w:t>Aw</w:t>
      </w:r>
      <w:proofErr w:type="spellEnd"/>
      <w:r w:rsidR="00954552">
        <w:t>)</w:t>
      </w:r>
      <w:r w:rsidR="00A2794A">
        <w:t>.</w:t>
      </w:r>
    </w:p>
    <w:p w:rsidR="00186BB1" w:rsidRPr="00B26F8B" w:rsidRDefault="00140307" w:rsidP="00B26F8B">
      <w:pPr>
        <w:pStyle w:val="Lijstalinea"/>
        <w:numPr>
          <w:ilvl w:val="1"/>
          <w:numId w:val="21"/>
        </w:numPr>
        <w:spacing w:line="240" w:lineRule="atLeast"/>
        <w:ind w:left="1080"/>
        <w:contextualSpacing/>
      </w:pPr>
      <w:r w:rsidRPr="00B26F8B">
        <w:t>Meldingen aan het Meldpunt Integriteit</w:t>
      </w:r>
      <w:r w:rsidR="00954552">
        <w:t xml:space="preserve"> (aard/aantal/interventie Aw)</w:t>
      </w:r>
      <w:r w:rsidR="00A2794A">
        <w:t>.</w:t>
      </w:r>
    </w:p>
    <w:p w:rsidR="00186BB1" w:rsidRPr="00B26F8B" w:rsidRDefault="00140307" w:rsidP="00B26F8B">
      <w:pPr>
        <w:pStyle w:val="Lijstalinea"/>
        <w:numPr>
          <w:ilvl w:val="0"/>
          <w:numId w:val="5"/>
        </w:numPr>
        <w:spacing w:line="240" w:lineRule="atLeast"/>
        <w:ind w:left="360"/>
        <w:contextualSpacing/>
      </w:pPr>
      <w:r w:rsidRPr="00B26F8B">
        <w:t>Financieel reglement</w:t>
      </w:r>
    </w:p>
    <w:p w:rsidR="00186BB1" w:rsidRPr="00B26F8B" w:rsidRDefault="00140307" w:rsidP="00B26F8B">
      <w:pPr>
        <w:pStyle w:val="Lijstalinea"/>
        <w:spacing w:line="240" w:lineRule="atLeast"/>
        <w:ind w:left="360"/>
        <w:contextualSpacing/>
      </w:pPr>
      <w:r w:rsidRPr="00B26F8B">
        <w:t>Op</w:t>
      </w:r>
      <w:r w:rsidR="00135381" w:rsidRPr="00B26F8B">
        <w:t xml:space="preserve"> </w:t>
      </w:r>
      <w:r w:rsidRPr="00B26F8B">
        <w:t>grond van de herziene Woningwet moeten alle corporaties per 1 januari 2017 beschikken over een financieel reglement, waarin de uitgangspunten van het financieel beleid en beheer, de organisatie</w:t>
      </w:r>
      <w:r w:rsidR="009507A9">
        <w:t xml:space="preserve"> </w:t>
      </w:r>
      <w:r w:rsidRPr="00B26F8B">
        <w:t xml:space="preserve">en jaarlijkse monitoring en de betrokkenheid van het intern toezicht op het beheer zijn vastgelegd. De regels moeten ertoe bijdragen dat de </w:t>
      </w:r>
      <w:r w:rsidR="009507A9" w:rsidRPr="00B26F8B">
        <w:t>financiële</w:t>
      </w:r>
      <w:r w:rsidRPr="00B26F8B">
        <w:t xml:space="preserve"> </w:t>
      </w:r>
      <w:r w:rsidR="009507A9" w:rsidRPr="00B26F8B">
        <w:t>continuïteit</w:t>
      </w:r>
      <w:r w:rsidRPr="00B26F8B">
        <w:t xml:space="preserve"> van corporaties niet in gevaar wordt gebracht.  </w:t>
      </w:r>
    </w:p>
    <w:p w:rsidR="00186BB1" w:rsidRPr="00B26F8B" w:rsidRDefault="00140307" w:rsidP="00B26F8B">
      <w:pPr>
        <w:pStyle w:val="Lijstalinea"/>
        <w:numPr>
          <w:ilvl w:val="1"/>
          <w:numId w:val="22"/>
        </w:numPr>
        <w:spacing w:line="240" w:lineRule="atLeast"/>
        <w:ind w:left="1080"/>
        <w:contextualSpacing/>
      </w:pPr>
      <w:r w:rsidRPr="00B26F8B">
        <w:t>Het aantal corporaties dat een goedgekeurd financieel reglement heeft</w:t>
      </w:r>
      <w:r w:rsidR="00A2794A">
        <w:t>.</w:t>
      </w:r>
    </w:p>
    <w:p w:rsidR="00186BB1" w:rsidRPr="00315D89" w:rsidRDefault="00186BB1" w:rsidP="00B26F8B">
      <w:pPr>
        <w:spacing w:line="240" w:lineRule="atLeast"/>
        <w:contextualSpacing/>
      </w:pPr>
    </w:p>
    <w:p w:rsidR="00186BB1" w:rsidRPr="00B26F8B" w:rsidRDefault="00186BB1" w:rsidP="00B26F8B">
      <w:pPr>
        <w:spacing w:line="240" w:lineRule="atLeast"/>
        <w:contextualSpacing/>
      </w:pPr>
    </w:p>
    <w:p w:rsidR="00186BB1" w:rsidRPr="00B26F8B" w:rsidRDefault="00140307" w:rsidP="00B26F8B">
      <w:pPr>
        <w:spacing w:line="240" w:lineRule="atLeast"/>
        <w:contextualSpacing/>
        <w:rPr>
          <w:b/>
        </w:rPr>
      </w:pPr>
      <w:r w:rsidRPr="00315D89">
        <w:br w:type="page"/>
      </w:r>
    </w:p>
    <w:p w:rsidR="00186BB1" w:rsidRPr="00D513CE" w:rsidRDefault="00140307" w:rsidP="00D513CE">
      <w:pPr>
        <w:spacing w:after="160" w:line="259" w:lineRule="auto"/>
        <w:rPr>
          <w:rFonts w:hAnsi="Calibri"/>
          <w:b/>
        </w:rPr>
      </w:pPr>
      <w:r w:rsidRPr="00D513CE">
        <w:rPr>
          <w:rFonts w:hAnsi="Calibri"/>
          <w:b/>
        </w:rPr>
        <w:lastRenderedPageBreak/>
        <w:t>Bijlage 2: Onderwerpen herziening Woningwet</w:t>
      </w:r>
    </w:p>
    <w:tbl>
      <w:tblPr>
        <w:tblW w:w="9500" w:type="dxa"/>
        <w:tblBorders>
          <w:top w:val="single" w:sz="4" w:space="0" w:color="000000"/>
          <w:left w:val="single" w:sz="4" w:space="0" w:color="000000"/>
          <w:bottom w:val="single" w:sz="4" w:space="0" w:color="000000"/>
          <w:right w:val="single" w:sz="4" w:space="0" w:color="000000"/>
          <w:insideH w:val="single" w:sz="4" w:space="0" w:color="D8D8D8"/>
        </w:tblBorders>
        <w:tblLayout w:type="fixed"/>
        <w:tblCellMar>
          <w:left w:w="70" w:type="dxa"/>
          <w:right w:w="70" w:type="dxa"/>
        </w:tblCellMar>
        <w:tblLook w:val="04A0" w:firstRow="1" w:lastRow="0" w:firstColumn="1" w:lastColumn="0" w:noHBand="0" w:noVBand="1"/>
      </w:tblPr>
      <w:tblGrid>
        <w:gridCol w:w="197"/>
        <w:gridCol w:w="244"/>
        <w:gridCol w:w="5959"/>
        <w:gridCol w:w="1194"/>
        <w:gridCol w:w="955"/>
        <w:gridCol w:w="951"/>
      </w:tblGrid>
      <w:tr w:rsidR="00186BB1" w:rsidRPr="00D513CE">
        <w:trPr>
          <w:trHeight w:val="288"/>
        </w:trPr>
        <w:tc>
          <w:tcPr>
            <w:tcW w:w="6400" w:type="dxa"/>
            <w:gridSpan w:val="3"/>
            <w:tcBorders>
              <w:top w:val="single" w:sz="4" w:space="0" w:color="000000"/>
              <w:left w:val="single" w:sz="4" w:space="0" w:color="000000"/>
              <w:bottom w:val="single" w:sz="4" w:space="0" w:color="D8D8D8"/>
              <w:right w:val="nil"/>
            </w:tcBorders>
            <w:shd w:val="clear" w:color="000000" w:fill="A5A5A5" w:themeFill="background1" w:themeFillShade="A5"/>
            <w:vAlign w:val="center"/>
          </w:tcPr>
          <w:p w:rsidR="00186BB1" w:rsidRPr="00D513CE" w:rsidRDefault="00140307" w:rsidP="00D513CE">
            <w:pPr>
              <w:pStyle w:val="Kop1"/>
              <w:spacing w:line="276" w:lineRule="auto"/>
              <w:rPr>
                <w:rFonts w:ascii="Verdana" w:hAnsi="Calibri"/>
              </w:rPr>
            </w:pPr>
            <w:r w:rsidRPr="00D513CE">
              <w:rPr>
                <w:rFonts w:ascii="Verdana" w:hAnsi="Calibri"/>
              </w:rPr>
              <w:t> </w:t>
            </w:r>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p>
        </w:tc>
        <w:tc>
          <w:tcPr>
            <w:tcW w:w="1194"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Woningwet</w:t>
            </w:r>
          </w:p>
        </w:tc>
        <w:tc>
          <w:tcPr>
            <w:tcW w:w="955"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BTIV</w:t>
            </w:r>
          </w:p>
        </w:tc>
        <w:tc>
          <w:tcPr>
            <w:tcW w:w="951" w:type="dxa"/>
            <w:tcBorders>
              <w:top w:val="single" w:sz="4" w:space="0" w:color="000000"/>
              <w:left w:val="nil"/>
              <w:bottom w:val="single" w:sz="4" w:space="0" w:color="D8D8D8"/>
              <w:right w:val="single" w:sz="4" w:space="0" w:color="000000"/>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Regeling</w:t>
            </w:r>
          </w:p>
        </w:tc>
      </w:tr>
      <w:tr w:rsidR="00186BB1" w:rsidRPr="00D513CE">
        <w:trPr>
          <w:trHeight w:val="288"/>
        </w:trPr>
        <w:tc>
          <w:tcPr>
            <w:tcW w:w="6400" w:type="dxa"/>
            <w:gridSpan w:val="3"/>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1"/>
              <w:spacing w:line="276" w:lineRule="auto"/>
              <w:rPr>
                <w:rFonts w:ascii="Verdana" w:hAnsi="Calibri"/>
              </w:rPr>
            </w:pPr>
            <w:bookmarkStart w:id="1" w:name="a"/>
            <w:bookmarkStart w:id="2" w:name="_Toc422496689"/>
            <w:bookmarkEnd w:id="1"/>
            <w:r w:rsidRPr="00D513CE">
              <w:rPr>
                <w:rFonts w:ascii="Verdana" w:hAnsi="Calibri"/>
              </w:rPr>
              <w:t>Definities</w:t>
            </w:r>
            <w:bookmarkEnd w:id="2"/>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p>
        </w:tc>
        <w:tc>
          <w:tcPr>
            <w:tcW w:w="1194"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3"/>
              <w:spacing w:line="276" w:lineRule="auto"/>
              <w:rPr>
                <w:rFonts w:ascii="Verdana" w:hAnsi="Calibri"/>
              </w:rPr>
            </w:pPr>
            <w:r w:rsidRPr="00D513CE">
              <w:rPr>
                <w:rFonts w:ascii="Verdana" w:hAnsi="Calibri"/>
              </w:rPr>
              <w:t>1</w:t>
            </w:r>
          </w:p>
        </w:tc>
        <w:tc>
          <w:tcPr>
            <w:tcW w:w="955"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951"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97" w:type="dxa"/>
            <w:tcBorders>
              <w:top w:val="single" w:sz="4" w:space="0" w:color="D8D8D8"/>
              <w:left w:val="single" w:sz="4" w:space="0" w:color="000000"/>
              <w:bottom w:val="single" w:sz="4" w:space="0" w:color="000000"/>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244" w:type="dxa"/>
            <w:tcBorders>
              <w:top w:val="single" w:sz="4" w:space="0" w:color="D8D8D8"/>
              <w:left w:val="nil"/>
              <w:bottom w:val="single" w:sz="4" w:space="0" w:color="000000"/>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959" w:type="dxa"/>
            <w:tcBorders>
              <w:top w:val="single" w:sz="4" w:space="0" w:color="D8D8D8"/>
              <w:left w:val="nil"/>
              <w:bottom w:val="single" w:sz="4" w:space="0" w:color="000000"/>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Inkomensgrens </w:t>
            </w:r>
            <w:r w:rsidRPr="00D513CE">
              <w:rPr>
                <w:rFonts w:hAnsi="Calibri"/>
                <w:color w:val="000000"/>
                <w:sz w:val="16"/>
                <w:szCs w:val="16"/>
              </w:rPr>
              <w:t> </w:t>
            </w:r>
          </w:p>
        </w:tc>
        <w:tc>
          <w:tcPr>
            <w:tcW w:w="1194" w:type="dxa"/>
            <w:tcBorders>
              <w:top w:val="single" w:sz="4" w:space="0" w:color="D8D8D8"/>
              <w:left w:val="nil"/>
              <w:bottom w:val="single" w:sz="4" w:space="0" w:color="000000"/>
              <w:right w:val="nil"/>
            </w:tcBorders>
            <w:vAlign w:val="center"/>
          </w:tcPr>
          <w:p w:rsidR="00186BB1" w:rsidRPr="00D513CE" w:rsidRDefault="00186BB1" w:rsidP="00D513CE">
            <w:pPr>
              <w:spacing w:after="160" w:line="259" w:lineRule="auto"/>
              <w:rPr>
                <w:rFonts w:hAnsi="Calibri"/>
              </w:rPr>
            </w:pPr>
          </w:p>
        </w:tc>
        <w:tc>
          <w:tcPr>
            <w:tcW w:w="955" w:type="dxa"/>
            <w:tcBorders>
              <w:top w:val="single" w:sz="4" w:space="0" w:color="D8D8D8"/>
              <w:left w:val="nil"/>
              <w:bottom w:val="single" w:sz="4" w:space="0" w:color="000000"/>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16</w:t>
            </w:r>
          </w:p>
        </w:tc>
        <w:tc>
          <w:tcPr>
            <w:tcW w:w="951" w:type="dxa"/>
            <w:tcBorders>
              <w:top w:val="single" w:sz="4" w:space="0" w:color="D8D8D8"/>
              <w:left w:val="nil"/>
              <w:bottom w:val="single" w:sz="4" w:space="0" w:color="000000"/>
              <w:right w:val="single" w:sz="4" w:space="0" w:color="000000"/>
            </w:tcBorders>
            <w:vAlign w:val="center"/>
          </w:tcPr>
          <w:p w:rsidR="00186BB1" w:rsidRPr="00D513CE" w:rsidRDefault="00186BB1" w:rsidP="00D513CE">
            <w:pPr>
              <w:spacing w:after="160" w:line="259" w:lineRule="auto"/>
              <w:rPr>
                <w:rFonts w:hAnsi="Calibri"/>
              </w:rPr>
            </w:pPr>
          </w:p>
        </w:tc>
      </w:tr>
    </w:tbl>
    <w:p w:rsidR="00186BB1" w:rsidRPr="00D513CE" w:rsidRDefault="00186BB1" w:rsidP="00D513CE">
      <w:pPr>
        <w:spacing w:after="160" w:line="259" w:lineRule="auto"/>
        <w:rPr>
          <w:rFonts w:hAnsi="Calibri"/>
        </w:rPr>
      </w:pPr>
    </w:p>
    <w:tbl>
      <w:tblPr>
        <w:tblW w:w="9500" w:type="dxa"/>
        <w:tblBorders>
          <w:top w:val="single" w:sz="4" w:space="0" w:color="000000"/>
          <w:left w:val="single" w:sz="4" w:space="0" w:color="000000"/>
          <w:bottom w:val="single" w:sz="4" w:space="0" w:color="000000"/>
          <w:right w:val="single" w:sz="4" w:space="0" w:color="000000"/>
          <w:insideH w:val="single" w:sz="4" w:space="0" w:color="D8D8D8"/>
        </w:tblBorders>
        <w:tblLayout w:type="fixed"/>
        <w:tblCellMar>
          <w:left w:w="70" w:type="dxa"/>
          <w:right w:w="70" w:type="dxa"/>
        </w:tblCellMar>
        <w:tblLook w:val="04A0" w:firstRow="1" w:lastRow="0" w:firstColumn="1" w:lastColumn="0" w:noHBand="0" w:noVBand="1"/>
      </w:tblPr>
      <w:tblGrid>
        <w:gridCol w:w="198"/>
        <w:gridCol w:w="246"/>
        <w:gridCol w:w="5957"/>
        <w:gridCol w:w="1194"/>
        <w:gridCol w:w="955"/>
        <w:gridCol w:w="950"/>
      </w:tblGrid>
      <w:tr w:rsidR="00186BB1" w:rsidRPr="00D513CE">
        <w:trPr>
          <w:trHeight w:val="288"/>
        </w:trPr>
        <w:tc>
          <w:tcPr>
            <w:tcW w:w="6401" w:type="dxa"/>
            <w:gridSpan w:val="3"/>
            <w:tcBorders>
              <w:top w:val="single" w:sz="4" w:space="0" w:color="000000"/>
              <w:left w:val="single" w:sz="4" w:space="0" w:color="000000"/>
              <w:bottom w:val="single" w:sz="4" w:space="0" w:color="D8D8D8"/>
              <w:right w:val="nil"/>
            </w:tcBorders>
            <w:shd w:val="clear" w:color="000000" w:fill="A5A5A5" w:themeFill="background1" w:themeFillShade="A5"/>
            <w:vAlign w:val="center"/>
          </w:tcPr>
          <w:p w:rsidR="00186BB1" w:rsidRPr="00D513CE" w:rsidRDefault="00186BB1" w:rsidP="00D513CE">
            <w:pPr>
              <w:spacing w:after="160" w:line="259" w:lineRule="auto"/>
              <w:rPr>
                <w:rFonts w:hAnsi="Calibri"/>
              </w:rPr>
            </w:pPr>
            <w:bookmarkStart w:id="3" w:name="b"/>
            <w:bookmarkEnd w:id="3"/>
          </w:p>
        </w:tc>
        <w:tc>
          <w:tcPr>
            <w:tcW w:w="1194"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Woningwet</w:t>
            </w:r>
          </w:p>
        </w:tc>
        <w:tc>
          <w:tcPr>
            <w:tcW w:w="955"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BTIV</w:t>
            </w:r>
          </w:p>
        </w:tc>
        <w:tc>
          <w:tcPr>
            <w:tcW w:w="950" w:type="dxa"/>
            <w:tcBorders>
              <w:top w:val="single" w:sz="4" w:space="0" w:color="000000"/>
              <w:left w:val="nil"/>
              <w:bottom w:val="single" w:sz="4" w:space="0" w:color="D8D8D8"/>
              <w:right w:val="single" w:sz="4" w:space="0" w:color="000000"/>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Regeling</w:t>
            </w:r>
          </w:p>
        </w:tc>
      </w:tr>
      <w:tr w:rsidR="00186BB1" w:rsidRPr="00D513CE">
        <w:trPr>
          <w:trHeight w:val="288"/>
        </w:trPr>
        <w:tc>
          <w:tcPr>
            <w:tcW w:w="6401" w:type="dxa"/>
            <w:gridSpan w:val="3"/>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1"/>
              <w:spacing w:line="276" w:lineRule="auto"/>
              <w:rPr>
                <w:rFonts w:ascii="Verdana" w:hAnsi="Calibri"/>
              </w:rPr>
            </w:pPr>
            <w:bookmarkStart w:id="4" w:name="_Toc422496690"/>
            <w:r w:rsidRPr="00D513CE">
              <w:rPr>
                <w:rFonts w:ascii="Verdana" w:hAnsi="Calibri"/>
              </w:rPr>
              <w:t>Woonco</w:t>
            </w:r>
            <w:r w:rsidRPr="00D513CE">
              <w:rPr>
                <w:rFonts w:ascii="Verdana" w:hAnsi="Calibri"/>
              </w:rPr>
              <w:t>ö</w:t>
            </w:r>
            <w:r w:rsidRPr="00D513CE">
              <w:rPr>
                <w:rFonts w:ascii="Verdana" w:hAnsi="Calibri"/>
              </w:rPr>
              <w:t>peraties</w:t>
            </w:r>
            <w:bookmarkEnd w:id="4"/>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p>
        </w:tc>
        <w:tc>
          <w:tcPr>
            <w:tcW w:w="1194"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3"/>
              <w:spacing w:line="276" w:lineRule="auto"/>
              <w:rPr>
                <w:rFonts w:ascii="Verdana" w:hAnsi="Calibri"/>
              </w:rPr>
            </w:pPr>
            <w:r w:rsidRPr="00D513CE">
              <w:rPr>
                <w:rFonts w:ascii="Verdana" w:hAnsi="Calibri"/>
              </w:rPr>
              <w:t>18a</w:t>
            </w:r>
          </w:p>
        </w:tc>
        <w:tc>
          <w:tcPr>
            <w:tcW w:w="955"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950"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98" w:type="dxa"/>
            <w:tcBorders>
              <w:top w:val="single" w:sz="4" w:space="0" w:color="D8D8D8"/>
              <w:left w:val="single" w:sz="4" w:space="0" w:color="000000"/>
              <w:bottom w:val="single" w:sz="4" w:space="0" w:color="000000"/>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246" w:type="dxa"/>
            <w:tcBorders>
              <w:top w:val="single" w:sz="4" w:space="0" w:color="D8D8D8"/>
              <w:left w:val="nil"/>
              <w:bottom w:val="single" w:sz="4" w:space="0" w:color="000000"/>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957" w:type="dxa"/>
            <w:tcBorders>
              <w:top w:val="single" w:sz="4" w:space="0" w:color="D8D8D8"/>
              <w:left w:val="nil"/>
              <w:bottom w:val="single" w:sz="4" w:space="0" w:color="000000"/>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Woonco</w:t>
            </w:r>
            <w:r w:rsidRPr="00D513CE">
              <w:rPr>
                <w:rFonts w:hAnsi="Calibri"/>
                <w:color w:val="000000"/>
                <w:sz w:val="16"/>
                <w:szCs w:val="16"/>
              </w:rPr>
              <w:t>ö</w:t>
            </w:r>
            <w:r w:rsidRPr="00D513CE">
              <w:rPr>
                <w:rFonts w:hAnsi="Calibri"/>
                <w:color w:val="000000"/>
                <w:sz w:val="16"/>
                <w:szCs w:val="16"/>
              </w:rPr>
              <w:t xml:space="preserve">peraties </w:t>
            </w:r>
            <w:r w:rsidRPr="00D513CE">
              <w:rPr>
                <w:rFonts w:hAnsi="Calibri"/>
                <w:color w:val="000000"/>
                <w:sz w:val="16"/>
                <w:szCs w:val="16"/>
              </w:rPr>
              <w:t> </w:t>
            </w:r>
          </w:p>
        </w:tc>
        <w:tc>
          <w:tcPr>
            <w:tcW w:w="1194" w:type="dxa"/>
            <w:tcBorders>
              <w:top w:val="single" w:sz="4" w:space="0" w:color="D8D8D8"/>
              <w:left w:val="nil"/>
              <w:bottom w:val="single" w:sz="4" w:space="0" w:color="000000"/>
              <w:right w:val="nil"/>
            </w:tcBorders>
            <w:vAlign w:val="center"/>
          </w:tcPr>
          <w:p w:rsidR="00186BB1" w:rsidRPr="00D513CE" w:rsidRDefault="00186BB1" w:rsidP="00D513CE">
            <w:pPr>
              <w:spacing w:after="160" w:line="259" w:lineRule="auto"/>
              <w:rPr>
                <w:rFonts w:hAnsi="Calibri"/>
              </w:rPr>
            </w:pPr>
          </w:p>
        </w:tc>
        <w:tc>
          <w:tcPr>
            <w:tcW w:w="955" w:type="dxa"/>
            <w:tcBorders>
              <w:top w:val="single" w:sz="4" w:space="0" w:color="D8D8D8"/>
              <w:left w:val="nil"/>
              <w:bottom w:val="single" w:sz="4" w:space="0" w:color="000000"/>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2 t/m 4</w:t>
            </w:r>
          </w:p>
        </w:tc>
        <w:tc>
          <w:tcPr>
            <w:tcW w:w="950" w:type="dxa"/>
            <w:tcBorders>
              <w:top w:val="single" w:sz="4" w:space="0" w:color="D8D8D8"/>
              <w:left w:val="nil"/>
              <w:bottom w:val="single" w:sz="4" w:space="0" w:color="000000"/>
              <w:right w:val="single" w:sz="4" w:space="0" w:color="000000"/>
            </w:tcBorders>
            <w:vAlign w:val="center"/>
          </w:tcPr>
          <w:p w:rsidR="00186BB1" w:rsidRPr="00D513CE" w:rsidRDefault="00186BB1" w:rsidP="00D513CE">
            <w:pPr>
              <w:spacing w:after="160" w:line="259" w:lineRule="auto"/>
              <w:rPr>
                <w:rFonts w:hAnsi="Calibri"/>
              </w:rPr>
            </w:pPr>
          </w:p>
        </w:tc>
      </w:tr>
    </w:tbl>
    <w:p w:rsidR="00186BB1" w:rsidRPr="00D513CE" w:rsidRDefault="00186BB1" w:rsidP="00D513CE">
      <w:pPr>
        <w:spacing w:after="160" w:line="259" w:lineRule="auto"/>
        <w:rPr>
          <w:rFonts w:hAnsi="Calibri"/>
        </w:rPr>
      </w:pPr>
    </w:p>
    <w:tbl>
      <w:tblPr>
        <w:tblW w:w="9500" w:type="dxa"/>
        <w:tblBorders>
          <w:top w:val="single" w:sz="4" w:space="0" w:color="000000"/>
          <w:left w:val="single" w:sz="4" w:space="0" w:color="000000"/>
          <w:bottom w:val="single" w:sz="4" w:space="0" w:color="000000"/>
          <w:right w:val="single" w:sz="4" w:space="0" w:color="000000"/>
          <w:insideH w:val="single" w:sz="4" w:space="0" w:color="D8D8D8"/>
        </w:tblBorders>
        <w:tblLayout w:type="fixed"/>
        <w:tblCellMar>
          <w:left w:w="70" w:type="dxa"/>
          <w:right w:w="70" w:type="dxa"/>
        </w:tblCellMar>
        <w:tblLook w:val="04A0" w:firstRow="1" w:lastRow="0" w:firstColumn="1" w:lastColumn="0" w:noHBand="0" w:noVBand="1"/>
      </w:tblPr>
      <w:tblGrid>
        <w:gridCol w:w="183"/>
        <w:gridCol w:w="183"/>
        <w:gridCol w:w="358"/>
        <w:gridCol w:w="6376"/>
        <w:gridCol w:w="991"/>
        <w:gridCol w:w="676"/>
        <w:gridCol w:w="733"/>
      </w:tblGrid>
      <w:tr w:rsidR="00186BB1" w:rsidRPr="00D513CE">
        <w:trPr>
          <w:trHeight w:val="288"/>
        </w:trPr>
        <w:tc>
          <w:tcPr>
            <w:tcW w:w="7100" w:type="dxa"/>
            <w:gridSpan w:val="4"/>
            <w:tcBorders>
              <w:top w:val="single" w:sz="4" w:space="0" w:color="000000"/>
              <w:left w:val="single" w:sz="4" w:space="0" w:color="000000"/>
              <w:bottom w:val="single" w:sz="4" w:space="0" w:color="D8D8D8"/>
              <w:right w:val="nil"/>
            </w:tcBorders>
            <w:shd w:val="clear" w:color="000000" w:fill="A5A5A5" w:themeFill="background1" w:themeFillShade="A5"/>
            <w:vAlign w:val="center"/>
          </w:tcPr>
          <w:p w:rsidR="00186BB1" w:rsidRPr="00D513CE" w:rsidRDefault="00140307" w:rsidP="00D513CE">
            <w:pPr>
              <w:pStyle w:val="Kop1"/>
              <w:spacing w:line="276" w:lineRule="auto"/>
              <w:rPr>
                <w:rFonts w:ascii="Verdana" w:hAnsi="Calibri"/>
              </w:rPr>
            </w:pPr>
            <w:bookmarkStart w:id="5" w:name="c"/>
            <w:bookmarkStart w:id="6" w:name="_Toc422496691"/>
            <w:bookmarkEnd w:id="5"/>
            <w:r w:rsidRPr="00D513CE">
              <w:rPr>
                <w:rFonts w:ascii="Verdana" w:hAnsi="Calibri"/>
              </w:rPr>
              <w:t>Algemene bepalingen</w:t>
            </w:r>
            <w:bookmarkEnd w:id="6"/>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p>
        </w:tc>
        <w:tc>
          <w:tcPr>
            <w:tcW w:w="991"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Woningwet</w:t>
            </w:r>
          </w:p>
        </w:tc>
        <w:tc>
          <w:tcPr>
            <w:tcW w:w="676"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BTIV</w:t>
            </w:r>
          </w:p>
        </w:tc>
        <w:tc>
          <w:tcPr>
            <w:tcW w:w="733" w:type="dxa"/>
            <w:tcBorders>
              <w:top w:val="single" w:sz="4" w:space="0" w:color="000000"/>
              <w:left w:val="nil"/>
              <w:bottom w:val="single" w:sz="4" w:space="0" w:color="D8D8D8"/>
              <w:right w:val="single" w:sz="4" w:space="0" w:color="000000"/>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Regeling</w:t>
            </w:r>
          </w:p>
        </w:tc>
      </w:tr>
      <w:tr w:rsidR="00186BB1" w:rsidRPr="00D513CE">
        <w:trPr>
          <w:trHeight w:val="288"/>
        </w:trPr>
        <w:tc>
          <w:tcPr>
            <w:tcW w:w="183"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917"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Toelating en intrekking </w:t>
            </w:r>
            <w:r w:rsidRPr="00D513CE">
              <w:rPr>
                <w:rFonts w:ascii="Verdana" w:hAnsi="Calibri"/>
              </w:rPr>
              <w:t> </w:t>
            </w:r>
            <w:r w:rsidRPr="00D513CE">
              <w:rPr>
                <w:rFonts w:ascii="Verdana" w:hAnsi="Calibri"/>
              </w:rPr>
              <w:t xml:space="preserve"> </w:t>
            </w:r>
            <w:r w:rsidRPr="00D513CE">
              <w:rPr>
                <w:rFonts w:ascii="Verdana" w:hAnsi="Calibri"/>
              </w:rPr>
              <w:t> </w:t>
            </w:r>
          </w:p>
        </w:tc>
        <w:tc>
          <w:tcPr>
            <w:tcW w:w="99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19, 20</w:t>
            </w:r>
          </w:p>
        </w:tc>
        <w:tc>
          <w:tcPr>
            <w:tcW w:w="676"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733"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83"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3"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734"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Toelating als toegelaten instelling  </w:t>
            </w:r>
            <w:r w:rsidRPr="00D513CE">
              <w:rPr>
                <w:rFonts w:hAnsi="Calibri"/>
                <w:color w:val="000000"/>
                <w:sz w:val="16"/>
                <w:szCs w:val="16"/>
              </w:rPr>
              <w:t> </w:t>
            </w:r>
          </w:p>
        </w:tc>
        <w:tc>
          <w:tcPr>
            <w:tcW w:w="99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676"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5 t/m 6</w:t>
            </w:r>
          </w:p>
        </w:tc>
        <w:tc>
          <w:tcPr>
            <w:tcW w:w="733"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3"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3"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734"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Vereffening bij intrekking van toelating </w:t>
            </w:r>
            <w:r w:rsidRPr="00D513CE">
              <w:rPr>
                <w:rFonts w:hAnsi="Calibri"/>
                <w:color w:val="000000"/>
                <w:sz w:val="16"/>
                <w:szCs w:val="16"/>
              </w:rPr>
              <w:t> </w:t>
            </w:r>
          </w:p>
        </w:tc>
        <w:tc>
          <w:tcPr>
            <w:tcW w:w="99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676"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7</w:t>
            </w:r>
          </w:p>
        </w:tc>
        <w:tc>
          <w:tcPr>
            <w:tcW w:w="733"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3"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917"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Verbindingen </w:t>
            </w:r>
            <w:r w:rsidRPr="00D513CE">
              <w:rPr>
                <w:rFonts w:ascii="Verdana" w:hAnsi="Calibri"/>
              </w:rPr>
              <w:t> </w:t>
            </w:r>
            <w:r w:rsidRPr="00D513CE">
              <w:rPr>
                <w:rFonts w:ascii="Verdana" w:hAnsi="Calibri"/>
              </w:rPr>
              <w:t xml:space="preserve"> </w:t>
            </w:r>
            <w:r w:rsidRPr="00D513CE">
              <w:rPr>
                <w:rFonts w:ascii="Verdana" w:hAnsi="Calibri"/>
              </w:rPr>
              <w:t> </w:t>
            </w:r>
          </w:p>
        </w:tc>
        <w:tc>
          <w:tcPr>
            <w:tcW w:w="99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21, 21a, 21b</w:t>
            </w:r>
          </w:p>
        </w:tc>
        <w:tc>
          <w:tcPr>
            <w:tcW w:w="676"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733"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83"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3"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734"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Samenwerkingsvennootschap </w:t>
            </w:r>
            <w:r w:rsidRPr="00D513CE">
              <w:rPr>
                <w:rFonts w:hAnsi="Calibri"/>
                <w:color w:val="000000"/>
                <w:sz w:val="16"/>
                <w:szCs w:val="16"/>
              </w:rPr>
              <w:t> </w:t>
            </w:r>
          </w:p>
        </w:tc>
        <w:tc>
          <w:tcPr>
            <w:tcW w:w="99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676"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8 t/m 13</w:t>
            </w:r>
          </w:p>
        </w:tc>
        <w:tc>
          <w:tcPr>
            <w:tcW w:w="733"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3"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3"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35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376"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Opslagpercentage t.b.v. rentepercentage bij interne lening</w:t>
            </w:r>
          </w:p>
        </w:tc>
        <w:tc>
          <w:tcPr>
            <w:tcW w:w="99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676"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33" w:type="dxa"/>
            <w:tcBorders>
              <w:top w:val="single" w:sz="4" w:space="0" w:color="D8D8D8"/>
              <w:left w:val="nil"/>
              <w:bottom w:val="single" w:sz="4" w:space="0" w:color="D8D8D8"/>
              <w:right w:val="single" w:sz="4" w:space="0" w:color="000000"/>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2</w:t>
            </w:r>
          </w:p>
        </w:tc>
      </w:tr>
      <w:tr w:rsidR="00186BB1" w:rsidRPr="00D513CE">
        <w:trPr>
          <w:trHeight w:val="288"/>
        </w:trPr>
        <w:tc>
          <w:tcPr>
            <w:tcW w:w="183"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917"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Financi</w:t>
            </w:r>
            <w:r w:rsidRPr="00D513CE">
              <w:rPr>
                <w:rFonts w:ascii="Verdana" w:hAnsi="Calibri"/>
              </w:rPr>
              <w:t>ë</w:t>
            </w:r>
            <w:r w:rsidRPr="00D513CE">
              <w:rPr>
                <w:rFonts w:ascii="Verdana" w:hAnsi="Calibri"/>
              </w:rPr>
              <w:t xml:space="preserve">le transacties </w:t>
            </w:r>
            <w:r w:rsidRPr="00D513CE">
              <w:rPr>
                <w:rFonts w:ascii="Verdana" w:hAnsi="Calibri"/>
              </w:rPr>
              <w:t> </w:t>
            </w:r>
            <w:r w:rsidRPr="00D513CE">
              <w:rPr>
                <w:rFonts w:ascii="Verdana" w:hAnsi="Calibri"/>
              </w:rPr>
              <w:t xml:space="preserve"> </w:t>
            </w:r>
            <w:r w:rsidRPr="00D513CE">
              <w:rPr>
                <w:rFonts w:ascii="Verdana" w:hAnsi="Calibri"/>
              </w:rPr>
              <w:t> </w:t>
            </w:r>
          </w:p>
        </w:tc>
        <w:tc>
          <w:tcPr>
            <w:tcW w:w="99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21c, 21d</w:t>
            </w:r>
          </w:p>
        </w:tc>
        <w:tc>
          <w:tcPr>
            <w:tcW w:w="676"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733"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83"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3"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734"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Garantstelling door een toegelaten instelling  </w:t>
            </w:r>
            <w:r w:rsidRPr="00D513CE">
              <w:rPr>
                <w:rFonts w:hAnsi="Calibri"/>
                <w:color w:val="000000"/>
                <w:sz w:val="16"/>
                <w:szCs w:val="16"/>
              </w:rPr>
              <w:t> </w:t>
            </w:r>
          </w:p>
        </w:tc>
        <w:tc>
          <w:tcPr>
            <w:tcW w:w="99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676"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12</w:t>
            </w:r>
          </w:p>
        </w:tc>
        <w:tc>
          <w:tcPr>
            <w:tcW w:w="733"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3"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3"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734"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Aanvang voor inwerkingtreding wet</w:t>
            </w:r>
          </w:p>
        </w:tc>
        <w:tc>
          <w:tcPr>
            <w:tcW w:w="99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676"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17</w:t>
            </w:r>
          </w:p>
        </w:tc>
        <w:tc>
          <w:tcPr>
            <w:tcW w:w="733"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3"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3"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35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376"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Aanwijzing stukken waaruit blijkt dat een aanvang is gemaakt</w:t>
            </w:r>
          </w:p>
        </w:tc>
        <w:tc>
          <w:tcPr>
            <w:tcW w:w="99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676"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33" w:type="dxa"/>
            <w:tcBorders>
              <w:top w:val="single" w:sz="4" w:space="0" w:color="D8D8D8"/>
              <w:left w:val="nil"/>
              <w:bottom w:val="single" w:sz="4" w:space="0" w:color="D8D8D8"/>
              <w:right w:val="single" w:sz="4" w:space="0" w:color="000000"/>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5</w:t>
            </w:r>
          </w:p>
        </w:tc>
      </w:tr>
      <w:tr w:rsidR="00186BB1" w:rsidRPr="00D513CE">
        <w:trPr>
          <w:trHeight w:val="288"/>
        </w:trPr>
        <w:tc>
          <w:tcPr>
            <w:tcW w:w="183"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3"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734"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Categorie</w:t>
            </w:r>
            <w:r w:rsidRPr="00D513CE">
              <w:rPr>
                <w:rFonts w:hAnsi="Calibri"/>
                <w:color w:val="000000"/>
                <w:sz w:val="16"/>
                <w:szCs w:val="16"/>
              </w:rPr>
              <w:t>ë</w:t>
            </w:r>
            <w:r w:rsidRPr="00D513CE">
              <w:rPr>
                <w:rFonts w:hAnsi="Calibri"/>
                <w:color w:val="000000"/>
                <w:sz w:val="16"/>
                <w:szCs w:val="16"/>
              </w:rPr>
              <w:t>n van financi</w:t>
            </w:r>
            <w:r w:rsidRPr="00D513CE">
              <w:rPr>
                <w:rFonts w:hAnsi="Calibri"/>
                <w:color w:val="000000"/>
                <w:sz w:val="16"/>
                <w:szCs w:val="16"/>
              </w:rPr>
              <w:t>ë</w:t>
            </w:r>
            <w:r w:rsidRPr="00D513CE">
              <w:rPr>
                <w:rFonts w:hAnsi="Calibri"/>
                <w:color w:val="000000"/>
                <w:sz w:val="16"/>
                <w:szCs w:val="16"/>
              </w:rPr>
              <w:t xml:space="preserve">le instellingen met uitsluitend welke de toegelaten instelling transacties aangaat   </w:t>
            </w:r>
            <w:r w:rsidRPr="00D513CE">
              <w:rPr>
                <w:rFonts w:hAnsi="Calibri"/>
                <w:color w:val="000000"/>
                <w:sz w:val="16"/>
                <w:szCs w:val="16"/>
              </w:rPr>
              <w:t> </w:t>
            </w:r>
          </w:p>
        </w:tc>
        <w:tc>
          <w:tcPr>
            <w:tcW w:w="99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676"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13</w:t>
            </w:r>
          </w:p>
        </w:tc>
        <w:tc>
          <w:tcPr>
            <w:tcW w:w="733"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3"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3"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35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376"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Categorie</w:t>
            </w:r>
            <w:r w:rsidRPr="00D513CE">
              <w:rPr>
                <w:rFonts w:hAnsi="Calibri"/>
                <w:color w:val="000000"/>
                <w:sz w:val="16"/>
                <w:szCs w:val="16"/>
              </w:rPr>
              <w:t>ë</w:t>
            </w:r>
            <w:r w:rsidRPr="00D513CE">
              <w:rPr>
                <w:rFonts w:hAnsi="Calibri"/>
                <w:color w:val="000000"/>
                <w:sz w:val="16"/>
                <w:szCs w:val="16"/>
              </w:rPr>
              <w:t>n van financi</w:t>
            </w:r>
            <w:r w:rsidRPr="00D513CE">
              <w:rPr>
                <w:rFonts w:hAnsi="Calibri"/>
                <w:color w:val="000000"/>
                <w:sz w:val="16"/>
                <w:szCs w:val="16"/>
              </w:rPr>
              <w:t>ë</w:t>
            </w:r>
            <w:r w:rsidRPr="00D513CE">
              <w:rPr>
                <w:rFonts w:hAnsi="Calibri"/>
                <w:color w:val="000000"/>
                <w:sz w:val="16"/>
                <w:szCs w:val="16"/>
              </w:rPr>
              <w:t>le instellingen</w:t>
            </w:r>
          </w:p>
        </w:tc>
        <w:tc>
          <w:tcPr>
            <w:tcW w:w="99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676"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33" w:type="dxa"/>
            <w:tcBorders>
              <w:top w:val="single" w:sz="4" w:space="0" w:color="D8D8D8"/>
              <w:left w:val="nil"/>
              <w:bottom w:val="single" w:sz="4" w:space="0" w:color="D8D8D8"/>
              <w:right w:val="single" w:sz="4" w:space="0" w:color="000000"/>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3 t/m 4</w:t>
            </w:r>
          </w:p>
        </w:tc>
      </w:tr>
      <w:tr w:rsidR="00186BB1" w:rsidRPr="00D513CE">
        <w:trPr>
          <w:trHeight w:val="288"/>
        </w:trPr>
        <w:tc>
          <w:tcPr>
            <w:tcW w:w="183"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3"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734"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Maximale percentage van de leningen ten opzichte van de WOZ-waarde  </w:t>
            </w:r>
            <w:r w:rsidRPr="00D513CE">
              <w:rPr>
                <w:rFonts w:hAnsi="Calibri"/>
                <w:color w:val="000000"/>
                <w:sz w:val="16"/>
                <w:szCs w:val="16"/>
              </w:rPr>
              <w:t> </w:t>
            </w:r>
          </w:p>
        </w:tc>
        <w:tc>
          <w:tcPr>
            <w:tcW w:w="99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676"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13</w:t>
            </w:r>
          </w:p>
        </w:tc>
        <w:tc>
          <w:tcPr>
            <w:tcW w:w="733"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3" w:type="dxa"/>
            <w:tcBorders>
              <w:top w:val="single" w:sz="4" w:space="0" w:color="D8D8D8"/>
              <w:left w:val="single" w:sz="4" w:space="0" w:color="000000"/>
              <w:bottom w:val="single" w:sz="4" w:space="0" w:color="A5A5A5"/>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917" w:type="dxa"/>
            <w:gridSpan w:val="3"/>
            <w:tcBorders>
              <w:top w:val="single" w:sz="4" w:space="0" w:color="D8D8D8"/>
              <w:left w:val="nil"/>
              <w:bottom w:val="single" w:sz="4" w:space="0" w:color="A5A5A5"/>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Huurdersraadpleging </w:t>
            </w:r>
            <w:r w:rsidRPr="00D513CE">
              <w:rPr>
                <w:rFonts w:ascii="Verdana" w:hAnsi="Calibri"/>
              </w:rPr>
              <w:t> </w:t>
            </w:r>
            <w:r w:rsidRPr="00D513CE">
              <w:rPr>
                <w:rFonts w:ascii="Verdana" w:hAnsi="Calibri"/>
              </w:rPr>
              <w:t xml:space="preserve"> </w:t>
            </w:r>
            <w:r w:rsidRPr="00D513CE">
              <w:rPr>
                <w:rFonts w:ascii="Verdana" w:hAnsi="Calibri"/>
              </w:rPr>
              <w:t> </w:t>
            </w:r>
          </w:p>
        </w:tc>
        <w:tc>
          <w:tcPr>
            <w:tcW w:w="991" w:type="dxa"/>
            <w:tcBorders>
              <w:top w:val="single" w:sz="4" w:space="0" w:color="D8D8D8"/>
              <w:left w:val="nil"/>
              <w:bottom w:val="single" w:sz="4" w:space="0" w:color="A5A5A5"/>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21e</w:t>
            </w:r>
          </w:p>
        </w:tc>
        <w:tc>
          <w:tcPr>
            <w:tcW w:w="676" w:type="dxa"/>
            <w:tcBorders>
              <w:top w:val="single" w:sz="4" w:space="0" w:color="D8D8D8"/>
              <w:left w:val="nil"/>
              <w:bottom w:val="single" w:sz="4" w:space="0" w:color="A5A5A5"/>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733" w:type="dxa"/>
            <w:tcBorders>
              <w:top w:val="single" w:sz="4" w:space="0" w:color="D8D8D8"/>
              <w:left w:val="nil"/>
              <w:bottom w:val="single" w:sz="4" w:space="0" w:color="A5A5A5"/>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83" w:type="dxa"/>
            <w:tcBorders>
              <w:top w:val="single" w:sz="4" w:space="0" w:color="A5A5A5"/>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917" w:type="dxa"/>
            <w:gridSpan w:val="3"/>
            <w:tcBorders>
              <w:top w:val="single" w:sz="4" w:space="0" w:color="A5A5A5"/>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Borgingsvoorziening </w:t>
            </w:r>
            <w:r w:rsidRPr="00D513CE">
              <w:rPr>
                <w:rFonts w:ascii="Verdana" w:hAnsi="Calibri"/>
              </w:rPr>
              <w:t> </w:t>
            </w:r>
            <w:r w:rsidRPr="00D513CE">
              <w:rPr>
                <w:rFonts w:ascii="Verdana" w:hAnsi="Calibri"/>
              </w:rPr>
              <w:t xml:space="preserve"> </w:t>
            </w:r>
            <w:r w:rsidRPr="00D513CE">
              <w:rPr>
                <w:rFonts w:ascii="Verdana" w:hAnsi="Calibri"/>
              </w:rPr>
              <w:t> </w:t>
            </w:r>
          </w:p>
        </w:tc>
        <w:tc>
          <w:tcPr>
            <w:tcW w:w="991" w:type="dxa"/>
            <w:tcBorders>
              <w:top w:val="single" w:sz="4" w:space="0" w:color="A5A5A5"/>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21f</w:t>
            </w:r>
          </w:p>
        </w:tc>
        <w:tc>
          <w:tcPr>
            <w:tcW w:w="676" w:type="dxa"/>
            <w:tcBorders>
              <w:top w:val="single" w:sz="4" w:space="0" w:color="A5A5A5"/>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733" w:type="dxa"/>
            <w:tcBorders>
              <w:top w:val="single" w:sz="4" w:space="0" w:color="A5A5A5"/>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83" w:type="dxa"/>
            <w:tcBorders>
              <w:top w:val="single" w:sz="4" w:space="0" w:color="D8D8D8"/>
              <w:left w:val="single" w:sz="4" w:space="0" w:color="000000"/>
              <w:bottom w:val="single" w:sz="4" w:space="0" w:color="000000"/>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3" w:type="dxa"/>
            <w:tcBorders>
              <w:top w:val="single" w:sz="4" w:space="0" w:color="D8D8D8"/>
              <w:left w:val="nil"/>
              <w:bottom w:val="single" w:sz="4" w:space="0" w:color="000000"/>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734" w:type="dxa"/>
            <w:gridSpan w:val="2"/>
            <w:tcBorders>
              <w:top w:val="single" w:sz="4" w:space="0" w:color="D8D8D8"/>
              <w:left w:val="nil"/>
              <w:bottom w:val="single" w:sz="4" w:space="0" w:color="000000"/>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Informatieplicht borgingsvoorziening </w:t>
            </w:r>
            <w:r w:rsidRPr="00D513CE">
              <w:rPr>
                <w:rFonts w:hAnsi="Calibri"/>
                <w:color w:val="000000"/>
                <w:sz w:val="16"/>
                <w:szCs w:val="16"/>
              </w:rPr>
              <w:t> </w:t>
            </w:r>
          </w:p>
        </w:tc>
        <w:tc>
          <w:tcPr>
            <w:tcW w:w="991" w:type="dxa"/>
            <w:tcBorders>
              <w:top w:val="single" w:sz="4" w:space="0" w:color="D8D8D8"/>
              <w:left w:val="nil"/>
              <w:bottom w:val="single" w:sz="4" w:space="0" w:color="000000"/>
              <w:right w:val="nil"/>
            </w:tcBorders>
            <w:vAlign w:val="center"/>
          </w:tcPr>
          <w:p w:rsidR="00186BB1" w:rsidRPr="00D513CE" w:rsidRDefault="00186BB1" w:rsidP="00D513CE">
            <w:pPr>
              <w:spacing w:after="160" w:line="259" w:lineRule="auto"/>
              <w:rPr>
                <w:rFonts w:hAnsi="Calibri"/>
              </w:rPr>
            </w:pPr>
          </w:p>
        </w:tc>
        <w:tc>
          <w:tcPr>
            <w:tcW w:w="676" w:type="dxa"/>
            <w:tcBorders>
              <w:top w:val="single" w:sz="4" w:space="0" w:color="D8D8D8"/>
              <w:left w:val="nil"/>
              <w:bottom w:val="single" w:sz="4" w:space="0" w:color="000000"/>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18</w:t>
            </w:r>
          </w:p>
        </w:tc>
        <w:tc>
          <w:tcPr>
            <w:tcW w:w="733" w:type="dxa"/>
            <w:tcBorders>
              <w:top w:val="single" w:sz="4" w:space="0" w:color="D8D8D8"/>
              <w:left w:val="nil"/>
              <w:bottom w:val="single" w:sz="4" w:space="0" w:color="000000"/>
              <w:right w:val="single" w:sz="4" w:space="0" w:color="000000"/>
            </w:tcBorders>
            <w:vAlign w:val="center"/>
          </w:tcPr>
          <w:p w:rsidR="00186BB1" w:rsidRPr="00D513CE" w:rsidRDefault="00186BB1" w:rsidP="00D513CE">
            <w:pPr>
              <w:spacing w:after="160" w:line="259" w:lineRule="auto"/>
              <w:rPr>
                <w:rFonts w:hAnsi="Calibri"/>
              </w:rPr>
            </w:pPr>
          </w:p>
        </w:tc>
      </w:tr>
    </w:tbl>
    <w:p w:rsidR="00186BB1" w:rsidRPr="00D513CE" w:rsidRDefault="00186BB1" w:rsidP="00D513CE">
      <w:pPr>
        <w:spacing w:after="160" w:line="259" w:lineRule="auto"/>
        <w:rPr>
          <w:rFonts w:hAnsi="Calibri"/>
        </w:rPr>
      </w:pPr>
    </w:p>
    <w:tbl>
      <w:tblPr>
        <w:tblW w:w="9500" w:type="dxa"/>
        <w:tblBorders>
          <w:top w:val="single" w:sz="4" w:space="0" w:color="000000"/>
          <w:left w:val="single" w:sz="4" w:space="0" w:color="000000"/>
          <w:bottom w:val="single" w:sz="4" w:space="0" w:color="000000"/>
          <w:right w:val="single" w:sz="4" w:space="0" w:color="000000"/>
          <w:insideH w:val="single" w:sz="4" w:space="0" w:color="D8D8D8"/>
        </w:tblBorders>
        <w:tblLayout w:type="fixed"/>
        <w:tblCellMar>
          <w:left w:w="70" w:type="dxa"/>
          <w:right w:w="70" w:type="dxa"/>
        </w:tblCellMar>
        <w:tblLook w:val="04A0" w:firstRow="1" w:lastRow="0" w:firstColumn="1" w:lastColumn="0" w:noHBand="0" w:noVBand="1"/>
      </w:tblPr>
      <w:tblGrid>
        <w:gridCol w:w="194"/>
        <w:gridCol w:w="194"/>
        <w:gridCol w:w="275"/>
        <w:gridCol w:w="5744"/>
        <w:gridCol w:w="1313"/>
        <w:gridCol w:w="902"/>
        <w:gridCol w:w="878"/>
      </w:tblGrid>
      <w:tr w:rsidR="00186BB1" w:rsidRPr="00D513CE">
        <w:trPr>
          <w:trHeight w:val="288"/>
        </w:trPr>
        <w:tc>
          <w:tcPr>
            <w:tcW w:w="6407" w:type="dxa"/>
            <w:gridSpan w:val="4"/>
            <w:tcBorders>
              <w:top w:val="single" w:sz="4" w:space="0" w:color="000000"/>
              <w:left w:val="single" w:sz="4" w:space="0" w:color="000000"/>
              <w:bottom w:val="single" w:sz="4" w:space="0" w:color="D8D8D8"/>
              <w:right w:val="nil"/>
            </w:tcBorders>
            <w:shd w:val="clear" w:color="000000" w:fill="A5A5A5" w:themeFill="background1" w:themeFillShade="A5"/>
            <w:vAlign w:val="center"/>
          </w:tcPr>
          <w:p w:rsidR="00186BB1" w:rsidRPr="00D513CE" w:rsidRDefault="00140307" w:rsidP="00D513CE">
            <w:pPr>
              <w:pStyle w:val="Kop1"/>
              <w:spacing w:line="276" w:lineRule="auto"/>
              <w:rPr>
                <w:rFonts w:ascii="Verdana" w:hAnsi="Calibri"/>
              </w:rPr>
            </w:pPr>
            <w:bookmarkStart w:id="7" w:name="d"/>
            <w:bookmarkStart w:id="8" w:name="_Toc422496692"/>
            <w:bookmarkEnd w:id="7"/>
            <w:r w:rsidRPr="00D513CE">
              <w:rPr>
                <w:rFonts w:ascii="Verdana" w:hAnsi="Calibri"/>
              </w:rPr>
              <w:t>Rechtsvorm en organisatie</w:t>
            </w:r>
            <w:bookmarkEnd w:id="8"/>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p>
        </w:tc>
        <w:tc>
          <w:tcPr>
            <w:tcW w:w="1313"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Woningwet</w:t>
            </w:r>
          </w:p>
        </w:tc>
        <w:tc>
          <w:tcPr>
            <w:tcW w:w="902"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BTIV</w:t>
            </w:r>
          </w:p>
        </w:tc>
        <w:tc>
          <w:tcPr>
            <w:tcW w:w="878" w:type="dxa"/>
            <w:tcBorders>
              <w:top w:val="single" w:sz="4" w:space="0" w:color="000000"/>
              <w:left w:val="nil"/>
              <w:bottom w:val="single" w:sz="4" w:space="0" w:color="D8D8D8"/>
              <w:right w:val="single" w:sz="4" w:space="0" w:color="000000"/>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Regeling</w:t>
            </w:r>
          </w:p>
        </w:tc>
      </w:tr>
      <w:tr w:rsidR="00186BB1" w:rsidRPr="00D513CE">
        <w:trPr>
          <w:trHeight w:val="288"/>
        </w:trPr>
        <w:tc>
          <w:tcPr>
            <w:tcW w:w="194"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213"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Rechtsvorm en statuten </w:t>
            </w:r>
            <w:r w:rsidRPr="00D513CE">
              <w:rPr>
                <w:rFonts w:ascii="Verdana" w:hAnsi="Calibri"/>
              </w:rPr>
              <w:t> </w:t>
            </w:r>
            <w:r w:rsidRPr="00D513CE">
              <w:rPr>
                <w:rFonts w:ascii="Verdana" w:hAnsi="Calibri"/>
              </w:rPr>
              <w:t xml:space="preserve"> </w:t>
            </w:r>
            <w:r w:rsidRPr="00D513CE">
              <w:rPr>
                <w:rFonts w:ascii="Verdana" w:hAnsi="Calibri"/>
              </w:rPr>
              <w:t> </w:t>
            </w:r>
          </w:p>
        </w:tc>
        <w:tc>
          <w:tcPr>
            <w:tcW w:w="1313"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22, 23</w:t>
            </w:r>
          </w:p>
        </w:tc>
        <w:tc>
          <w:tcPr>
            <w:tcW w:w="902"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878"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94"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213"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Eisen aan bestuur </w:t>
            </w:r>
            <w:r w:rsidRPr="00D513CE">
              <w:rPr>
                <w:rFonts w:ascii="Verdana" w:hAnsi="Calibri"/>
              </w:rPr>
              <w:t> </w:t>
            </w:r>
            <w:r w:rsidRPr="00D513CE">
              <w:rPr>
                <w:rFonts w:ascii="Verdana" w:hAnsi="Calibri"/>
              </w:rPr>
              <w:t xml:space="preserve"> </w:t>
            </w:r>
            <w:r w:rsidRPr="00D513CE">
              <w:rPr>
                <w:rFonts w:ascii="Verdana" w:hAnsi="Calibri"/>
              </w:rPr>
              <w:t> </w:t>
            </w:r>
          </w:p>
        </w:tc>
        <w:tc>
          <w:tcPr>
            <w:tcW w:w="1313"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24, 25, 29b</w:t>
            </w:r>
          </w:p>
        </w:tc>
        <w:tc>
          <w:tcPr>
            <w:tcW w:w="902"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878"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94"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lastRenderedPageBreak/>
              <w:t> </w:t>
            </w:r>
          </w:p>
        </w:tc>
        <w:tc>
          <w:tcPr>
            <w:tcW w:w="19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0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Geschiktheid van personen als bestuurder </w:t>
            </w:r>
            <w:r w:rsidRPr="00D513CE">
              <w:rPr>
                <w:rFonts w:hAnsi="Calibri"/>
                <w:color w:val="000000"/>
                <w:sz w:val="16"/>
                <w:szCs w:val="16"/>
              </w:rPr>
              <w:t> </w:t>
            </w:r>
          </w:p>
        </w:tc>
        <w:tc>
          <w:tcPr>
            <w:tcW w:w="1313"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902"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19</w:t>
            </w:r>
          </w:p>
        </w:tc>
        <w:tc>
          <w:tcPr>
            <w:tcW w:w="878"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94"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9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275"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74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Zienswijze over geschiktheid en betrouwbaarheid</w:t>
            </w:r>
          </w:p>
        </w:tc>
        <w:tc>
          <w:tcPr>
            <w:tcW w:w="1313"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902"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878" w:type="dxa"/>
            <w:tcBorders>
              <w:top w:val="single" w:sz="4" w:space="0" w:color="D8D8D8"/>
              <w:left w:val="nil"/>
              <w:bottom w:val="single" w:sz="4" w:space="0" w:color="D8D8D8"/>
              <w:right w:val="single" w:sz="4" w:space="0" w:color="000000"/>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6 t/m 8</w:t>
            </w:r>
          </w:p>
        </w:tc>
      </w:tr>
      <w:tr w:rsidR="00186BB1" w:rsidRPr="00D513CE">
        <w:trPr>
          <w:trHeight w:val="288"/>
        </w:trPr>
        <w:tc>
          <w:tcPr>
            <w:tcW w:w="194"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213"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Goedkeuring besluiten </w:t>
            </w:r>
            <w:r w:rsidRPr="00D513CE">
              <w:rPr>
                <w:rFonts w:ascii="Verdana" w:hAnsi="Calibri"/>
              </w:rPr>
              <w:t> </w:t>
            </w:r>
            <w:r w:rsidRPr="00D513CE">
              <w:rPr>
                <w:rFonts w:ascii="Verdana" w:hAnsi="Calibri"/>
              </w:rPr>
              <w:t xml:space="preserve"> </w:t>
            </w:r>
            <w:r w:rsidRPr="00D513CE">
              <w:rPr>
                <w:rFonts w:ascii="Verdana" w:hAnsi="Calibri"/>
              </w:rPr>
              <w:t> </w:t>
            </w:r>
          </w:p>
        </w:tc>
        <w:tc>
          <w:tcPr>
            <w:tcW w:w="1313"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26, 27, 28</w:t>
            </w:r>
          </w:p>
        </w:tc>
        <w:tc>
          <w:tcPr>
            <w:tcW w:w="902"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878"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94"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9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0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Besluiten die onderworpen zijn aan goedkeuring door de RvT </w:t>
            </w:r>
            <w:r w:rsidRPr="00D513CE">
              <w:rPr>
                <w:rFonts w:hAnsi="Calibri"/>
                <w:color w:val="000000"/>
                <w:sz w:val="16"/>
                <w:szCs w:val="16"/>
              </w:rPr>
              <w:t> </w:t>
            </w:r>
          </w:p>
        </w:tc>
        <w:tc>
          <w:tcPr>
            <w:tcW w:w="1313"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902"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21</w:t>
            </w:r>
          </w:p>
        </w:tc>
        <w:tc>
          <w:tcPr>
            <w:tcW w:w="878"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94"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9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0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Besluiten die onderworpen zijn aan goedkeuring door de minister </w:t>
            </w:r>
            <w:r w:rsidRPr="00D513CE">
              <w:rPr>
                <w:rFonts w:hAnsi="Calibri"/>
                <w:color w:val="000000"/>
                <w:sz w:val="16"/>
                <w:szCs w:val="16"/>
              </w:rPr>
              <w:t> </w:t>
            </w:r>
          </w:p>
        </w:tc>
        <w:tc>
          <w:tcPr>
            <w:tcW w:w="1313"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902"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22 t/m 28</w:t>
            </w:r>
          </w:p>
        </w:tc>
        <w:tc>
          <w:tcPr>
            <w:tcW w:w="878"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94"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213"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Melding minister </w:t>
            </w:r>
            <w:r w:rsidRPr="00D513CE">
              <w:rPr>
                <w:rFonts w:ascii="Verdana" w:hAnsi="Calibri"/>
              </w:rPr>
              <w:t> </w:t>
            </w:r>
            <w:r w:rsidRPr="00D513CE">
              <w:rPr>
                <w:rFonts w:ascii="Verdana" w:hAnsi="Calibri"/>
              </w:rPr>
              <w:t xml:space="preserve"> </w:t>
            </w:r>
            <w:r w:rsidRPr="00D513CE">
              <w:rPr>
                <w:rFonts w:ascii="Verdana" w:hAnsi="Calibri"/>
              </w:rPr>
              <w:t> </w:t>
            </w:r>
          </w:p>
        </w:tc>
        <w:tc>
          <w:tcPr>
            <w:tcW w:w="1313"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29, 29a</w:t>
            </w:r>
          </w:p>
        </w:tc>
        <w:tc>
          <w:tcPr>
            <w:tcW w:w="902"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878"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94"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213"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Raad van toezicht </w:t>
            </w:r>
            <w:r w:rsidRPr="00D513CE">
              <w:rPr>
                <w:rFonts w:ascii="Verdana" w:hAnsi="Calibri"/>
              </w:rPr>
              <w:t> </w:t>
            </w:r>
            <w:r w:rsidRPr="00D513CE">
              <w:rPr>
                <w:rFonts w:ascii="Verdana" w:hAnsi="Calibri"/>
              </w:rPr>
              <w:t xml:space="preserve"> </w:t>
            </w:r>
            <w:r w:rsidRPr="00D513CE">
              <w:rPr>
                <w:rFonts w:ascii="Verdana" w:hAnsi="Calibri"/>
              </w:rPr>
              <w:t> </w:t>
            </w:r>
          </w:p>
        </w:tc>
        <w:tc>
          <w:tcPr>
            <w:tcW w:w="1313"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30 t/m 33</w:t>
            </w:r>
          </w:p>
        </w:tc>
        <w:tc>
          <w:tcPr>
            <w:tcW w:w="902"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878"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94"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9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0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Geschiktheid van personen als lid van de RvT </w:t>
            </w:r>
            <w:r w:rsidRPr="00D513CE">
              <w:rPr>
                <w:rFonts w:hAnsi="Calibri"/>
                <w:color w:val="000000"/>
                <w:sz w:val="16"/>
                <w:szCs w:val="16"/>
              </w:rPr>
              <w:t> </w:t>
            </w:r>
          </w:p>
        </w:tc>
        <w:tc>
          <w:tcPr>
            <w:tcW w:w="1313"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902"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19</w:t>
            </w:r>
          </w:p>
        </w:tc>
        <w:tc>
          <w:tcPr>
            <w:tcW w:w="878"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94"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9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275"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74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Zienswijze over geschiktheid en betrouwbaarheid</w:t>
            </w:r>
          </w:p>
        </w:tc>
        <w:tc>
          <w:tcPr>
            <w:tcW w:w="1313"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902"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878" w:type="dxa"/>
            <w:tcBorders>
              <w:top w:val="single" w:sz="4" w:space="0" w:color="D8D8D8"/>
              <w:left w:val="nil"/>
              <w:bottom w:val="single" w:sz="4" w:space="0" w:color="D8D8D8"/>
              <w:right w:val="single" w:sz="4" w:space="0" w:color="000000"/>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6 t/m 8</w:t>
            </w:r>
          </w:p>
        </w:tc>
      </w:tr>
      <w:tr w:rsidR="00186BB1" w:rsidRPr="00D513CE">
        <w:trPr>
          <w:trHeight w:val="288"/>
        </w:trPr>
        <w:tc>
          <w:tcPr>
            <w:tcW w:w="194"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213"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proofErr w:type="spellStart"/>
            <w:r w:rsidRPr="00D513CE">
              <w:rPr>
                <w:rFonts w:ascii="Verdana" w:hAnsi="Calibri"/>
              </w:rPr>
              <w:t>Voordrachtsrecht</w:t>
            </w:r>
            <w:proofErr w:type="spellEnd"/>
            <w:r w:rsidRPr="00D513CE">
              <w:rPr>
                <w:rFonts w:ascii="Verdana" w:hAnsi="Calibri"/>
              </w:rPr>
              <w:t xml:space="preserve"> huurdersorganisatie twee leden </w:t>
            </w:r>
            <w:r w:rsidRPr="00D513CE">
              <w:rPr>
                <w:rFonts w:ascii="Verdana" w:hAnsi="Calibri"/>
              </w:rPr>
              <w:t> </w:t>
            </w:r>
            <w:r w:rsidRPr="00D513CE">
              <w:rPr>
                <w:rFonts w:ascii="Verdana" w:hAnsi="Calibri"/>
              </w:rPr>
              <w:t xml:space="preserve"> </w:t>
            </w:r>
            <w:r w:rsidRPr="00D513CE">
              <w:rPr>
                <w:rFonts w:ascii="Verdana" w:hAnsi="Calibri"/>
              </w:rPr>
              <w:t> </w:t>
            </w:r>
          </w:p>
        </w:tc>
        <w:tc>
          <w:tcPr>
            <w:tcW w:w="1313"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30 lid 9 sub a</w:t>
            </w:r>
          </w:p>
        </w:tc>
        <w:tc>
          <w:tcPr>
            <w:tcW w:w="902"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878"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94"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213"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Taakopdracht Raad van toezicht </w:t>
            </w:r>
            <w:r w:rsidRPr="00D513CE">
              <w:rPr>
                <w:rFonts w:ascii="Verdana" w:hAnsi="Calibri"/>
              </w:rPr>
              <w:t> </w:t>
            </w:r>
            <w:r w:rsidRPr="00D513CE">
              <w:rPr>
                <w:rFonts w:ascii="Verdana" w:hAnsi="Calibri"/>
              </w:rPr>
              <w:t xml:space="preserve"> </w:t>
            </w:r>
            <w:r w:rsidRPr="00D513CE">
              <w:rPr>
                <w:rFonts w:ascii="Verdana" w:hAnsi="Calibri"/>
              </w:rPr>
              <w:t> </w:t>
            </w:r>
          </w:p>
        </w:tc>
        <w:tc>
          <w:tcPr>
            <w:tcW w:w="1313"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31</w:t>
            </w:r>
          </w:p>
        </w:tc>
        <w:tc>
          <w:tcPr>
            <w:tcW w:w="902"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878"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94"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9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0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Werkzaamheden van de RvT waarvan de RvT de minister op de hoogte stelt </w:t>
            </w:r>
            <w:r w:rsidRPr="00D513CE">
              <w:rPr>
                <w:rFonts w:hAnsi="Calibri"/>
                <w:color w:val="000000"/>
                <w:sz w:val="16"/>
                <w:szCs w:val="16"/>
              </w:rPr>
              <w:t> </w:t>
            </w:r>
          </w:p>
        </w:tc>
        <w:tc>
          <w:tcPr>
            <w:tcW w:w="1313"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902"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29</w:t>
            </w:r>
          </w:p>
        </w:tc>
        <w:tc>
          <w:tcPr>
            <w:tcW w:w="878"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94"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213"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Jaarrekening, verslag </w:t>
            </w:r>
            <w:r w:rsidRPr="00D513CE">
              <w:rPr>
                <w:rFonts w:ascii="Verdana" w:hAnsi="Calibri"/>
              </w:rPr>
              <w:t> </w:t>
            </w:r>
            <w:r w:rsidRPr="00D513CE">
              <w:rPr>
                <w:rFonts w:ascii="Verdana" w:hAnsi="Calibri"/>
              </w:rPr>
              <w:t xml:space="preserve"> </w:t>
            </w:r>
            <w:r w:rsidRPr="00D513CE">
              <w:rPr>
                <w:rFonts w:ascii="Verdana" w:hAnsi="Calibri"/>
              </w:rPr>
              <w:t> </w:t>
            </w:r>
          </w:p>
        </w:tc>
        <w:tc>
          <w:tcPr>
            <w:tcW w:w="1313"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35, 36, 37, 38</w:t>
            </w:r>
          </w:p>
        </w:tc>
        <w:tc>
          <w:tcPr>
            <w:tcW w:w="902"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878"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94"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9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0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Waardering tegen marktwaarde </w:t>
            </w:r>
            <w:r w:rsidRPr="00D513CE">
              <w:rPr>
                <w:rFonts w:hAnsi="Calibri"/>
                <w:color w:val="000000"/>
                <w:sz w:val="16"/>
                <w:szCs w:val="16"/>
              </w:rPr>
              <w:t> </w:t>
            </w:r>
          </w:p>
        </w:tc>
        <w:tc>
          <w:tcPr>
            <w:tcW w:w="1313"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902"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31</w:t>
            </w:r>
          </w:p>
        </w:tc>
        <w:tc>
          <w:tcPr>
            <w:tcW w:w="878"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94"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9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275"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74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Handboek bepaling marktwaarde</w:t>
            </w:r>
          </w:p>
        </w:tc>
        <w:tc>
          <w:tcPr>
            <w:tcW w:w="1313"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902"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878" w:type="dxa"/>
            <w:tcBorders>
              <w:top w:val="single" w:sz="4" w:space="0" w:color="D8D8D8"/>
              <w:left w:val="nil"/>
              <w:bottom w:val="single" w:sz="4" w:space="0" w:color="D8D8D8"/>
              <w:right w:val="single" w:sz="4" w:space="0" w:color="000000"/>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14</w:t>
            </w:r>
          </w:p>
        </w:tc>
      </w:tr>
      <w:tr w:rsidR="00186BB1" w:rsidRPr="00D513CE">
        <w:trPr>
          <w:trHeight w:val="288"/>
        </w:trPr>
        <w:tc>
          <w:tcPr>
            <w:tcW w:w="194"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213"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Volkshuisvestingsverslag </w:t>
            </w:r>
            <w:r w:rsidRPr="00D513CE">
              <w:rPr>
                <w:rFonts w:ascii="Verdana" w:hAnsi="Calibri"/>
              </w:rPr>
              <w:t> </w:t>
            </w:r>
            <w:r w:rsidRPr="00D513CE">
              <w:rPr>
                <w:rFonts w:ascii="Verdana" w:hAnsi="Calibri"/>
              </w:rPr>
              <w:t xml:space="preserve"> </w:t>
            </w:r>
            <w:r w:rsidRPr="00D513CE">
              <w:rPr>
                <w:rFonts w:ascii="Verdana" w:hAnsi="Calibri"/>
              </w:rPr>
              <w:t> </w:t>
            </w:r>
          </w:p>
        </w:tc>
        <w:tc>
          <w:tcPr>
            <w:tcW w:w="1313"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36a</w:t>
            </w:r>
          </w:p>
        </w:tc>
        <w:tc>
          <w:tcPr>
            <w:tcW w:w="902"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878"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94"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9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0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Inhoud van het volkshuisvestingsverslag </w:t>
            </w:r>
            <w:r w:rsidRPr="00D513CE">
              <w:rPr>
                <w:rFonts w:hAnsi="Calibri"/>
                <w:color w:val="000000"/>
                <w:sz w:val="16"/>
                <w:szCs w:val="16"/>
              </w:rPr>
              <w:t> </w:t>
            </w:r>
          </w:p>
        </w:tc>
        <w:tc>
          <w:tcPr>
            <w:tcW w:w="1313"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902"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32</w:t>
            </w:r>
          </w:p>
        </w:tc>
        <w:tc>
          <w:tcPr>
            <w:tcW w:w="878"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94"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9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0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Beoordeling van de minister van de jaarstukken </w:t>
            </w:r>
            <w:r w:rsidRPr="00D513CE">
              <w:rPr>
                <w:rFonts w:hAnsi="Calibri"/>
                <w:color w:val="000000"/>
                <w:sz w:val="16"/>
                <w:szCs w:val="16"/>
              </w:rPr>
              <w:t> </w:t>
            </w:r>
          </w:p>
        </w:tc>
        <w:tc>
          <w:tcPr>
            <w:tcW w:w="1313"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902"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33</w:t>
            </w:r>
          </w:p>
        </w:tc>
        <w:tc>
          <w:tcPr>
            <w:tcW w:w="878"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94" w:type="dxa"/>
            <w:tcBorders>
              <w:top w:val="single" w:sz="4" w:space="0" w:color="D8D8D8"/>
              <w:left w:val="single" w:sz="4" w:space="0" w:color="000000"/>
              <w:bottom w:val="single" w:sz="4" w:space="0" w:color="000000"/>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213" w:type="dxa"/>
            <w:gridSpan w:val="3"/>
            <w:tcBorders>
              <w:top w:val="single" w:sz="4" w:space="0" w:color="D8D8D8"/>
              <w:left w:val="nil"/>
              <w:bottom w:val="single" w:sz="4" w:space="0" w:color="000000"/>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Instellen onderzoek </w:t>
            </w:r>
            <w:r w:rsidRPr="00D513CE">
              <w:rPr>
                <w:rFonts w:ascii="Verdana" w:hAnsi="Calibri"/>
              </w:rPr>
              <w:t> </w:t>
            </w:r>
            <w:r w:rsidRPr="00D513CE">
              <w:rPr>
                <w:rFonts w:ascii="Verdana" w:hAnsi="Calibri"/>
              </w:rPr>
              <w:t xml:space="preserve"> </w:t>
            </w:r>
            <w:r w:rsidRPr="00D513CE">
              <w:rPr>
                <w:rFonts w:ascii="Verdana" w:hAnsi="Calibri"/>
              </w:rPr>
              <w:t> </w:t>
            </w:r>
          </w:p>
        </w:tc>
        <w:tc>
          <w:tcPr>
            <w:tcW w:w="1313" w:type="dxa"/>
            <w:tcBorders>
              <w:top w:val="single" w:sz="4" w:space="0" w:color="D8D8D8"/>
              <w:left w:val="nil"/>
              <w:bottom w:val="single" w:sz="4" w:space="0" w:color="000000"/>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39</w:t>
            </w:r>
          </w:p>
        </w:tc>
        <w:tc>
          <w:tcPr>
            <w:tcW w:w="902" w:type="dxa"/>
            <w:tcBorders>
              <w:top w:val="single" w:sz="4" w:space="0" w:color="D8D8D8"/>
              <w:left w:val="nil"/>
              <w:bottom w:val="single" w:sz="4" w:space="0" w:color="000000"/>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878" w:type="dxa"/>
            <w:tcBorders>
              <w:top w:val="single" w:sz="4" w:space="0" w:color="D8D8D8"/>
              <w:left w:val="nil"/>
              <w:bottom w:val="single" w:sz="4" w:space="0" w:color="000000"/>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bl>
    <w:p w:rsidR="00186BB1" w:rsidRPr="00D513CE" w:rsidRDefault="00186BB1" w:rsidP="00D513CE">
      <w:pPr>
        <w:spacing w:after="160" w:line="259" w:lineRule="auto"/>
        <w:rPr>
          <w:rFonts w:hAnsi="Calibri"/>
        </w:rPr>
      </w:pPr>
    </w:p>
    <w:tbl>
      <w:tblPr>
        <w:tblW w:w="9500" w:type="dxa"/>
        <w:tblBorders>
          <w:top w:val="single" w:sz="4" w:space="0" w:color="000000"/>
          <w:left w:val="single" w:sz="4" w:space="0" w:color="000000"/>
          <w:bottom w:val="single" w:sz="4" w:space="0" w:color="000000"/>
          <w:right w:val="single" w:sz="4" w:space="0" w:color="000000"/>
          <w:insideH w:val="single" w:sz="4" w:space="0" w:color="D8D8D8"/>
        </w:tblBorders>
        <w:tblLayout w:type="fixed"/>
        <w:tblCellMar>
          <w:left w:w="70" w:type="dxa"/>
          <w:right w:w="70" w:type="dxa"/>
        </w:tblCellMar>
        <w:tblLook w:val="04A0" w:firstRow="1" w:lastRow="0" w:firstColumn="1" w:lastColumn="0" w:noHBand="0" w:noVBand="1"/>
      </w:tblPr>
      <w:tblGrid>
        <w:gridCol w:w="197"/>
        <w:gridCol w:w="197"/>
        <w:gridCol w:w="166"/>
        <w:gridCol w:w="5607"/>
        <w:gridCol w:w="1441"/>
        <w:gridCol w:w="951"/>
        <w:gridCol w:w="941"/>
      </w:tblGrid>
      <w:tr w:rsidR="00186BB1" w:rsidRPr="00D513CE">
        <w:trPr>
          <w:trHeight w:val="288"/>
        </w:trPr>
        <w:tc>
          <w:tcPr>
            <w:tcW w:w="6167" w:type="dxa"/>
            <w:gridSpan w:val="4"/>
            <w:tcBorders>
              <w:top w:val="single" w:sz="4" w:space="0" w:color="000000"/>
              <w:left w:val="single" w:sz="4" w:space="0" w:color="000000"/>
              <w:bottom w:val="single" w:sz="4" w:space="0" w:color="D8D8D8"/>
              <w:right w:val="nil"/>
            </w:tcBorders>
            <w:shd w:val="clear" w:color="000000" w:fill="A5A5A5" w:themeFill="background1" w:themeFillShade="A5"/>
            <w:vAlign w:val="center"/>
          </w:tcPr>
          <w:p w:rsidR="00186BB1" w:rsidRPr="00D513CE" w:rsidRDefault="00140307" w:rsidP="00D513CE">
            <w:pPr>
              <w:pStyle w:val="Kop1"/>
              <w:spacing w:line="276" w:lineRule="auto"/>
              <w:rPr>
                <w:rFonts w:ascii="Verdana" w:hAnsi="Calibri"/>
              </w:rPr>
            </w:pPr>
            <w:bookmarkStart w:id="9" w:name="_Toc422496693"/>
            <w:r w:rsidRPr="00D513CE">
              <w:rPr>
                <w:rFonts w:ascii="Verdana" w:hAnsi="Calibri"/>
              </w:rPr>
              <w:t>Verkoopregels</w:t>
            </w:r>
            <w:bookmarkEnd w:id="9"/>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p>
        </w:tc>
        <w:tc>
          <w:tcPr>
            <w:tcW w:w="1441"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Woningwet</w:t>
            </w:r>
          </w:p>
        </w:tc>
        <w:tc>
          <w:tcPr>
            <w:tcW w:w="951"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BTIV</w:t>
            </w:r>
          </w:p>
        </w:tc>
        <w:tc>
          <w:tcPr>
            <w:tcW w:w="941" w:type="dxa"/>
            <w:tcBorders>
              <w:top w:val="single" w:sz="4" w:space="0" w:color="000000"/>
              <w:left w:val="nil"/>
              <w:bottom w:val="single" w:sz="4" w:space="0" w:color="D8D8D8"/>
              <w:right w:val="single" w:sz="4" w:space="0" w:color="000000"/>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Regeling</w:t>
            </w:r>
          </w:p>
        </w:tc>
      </w:tr>
      <w:tr w:rsidR="00186BB1" w:rsidRPr="00D513CE">
        <w:trPr>
          <w:trHeight w:val="288"/>
        </w:trPr>
        <w:tc>
          <w:tcPr>
            <w:tcW w:w="197"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5970"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Vervreemden van bezit </w:t>
            </w:r>
            <w:r w:rsidRPr="00D513CE">
              <w:rPr>
                <w:rFonts w:ascii="Verdana" w:hAnsi="Calibri"/>
              </w:rPr>
              <w:t> </w:t>
            </w:r>
            <w:r w:rsidRPr="00D513CE">
              <w:rPr>
                <w:rFonts w:ascii="Verdana" w:hAnsi="Calibri"/>
              </w:rPr>
              <w:t xml:space="preserve"> </w:t>
            </w:r>
            <w:r w:rsidRPr="00D513CE">
              <w:rPr>
                <w:rFonts w:ascii="Verdana" w:hAnsi="Calibri"/>
              </w:rPr>
              <w:t> </w:t>
            </w:r>
          </w:p>
        </w:tc>
        <w:tc>
          <w:tcPr>
            <w:tcW w:w="144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27, lid 1 sub a</w:t>
            </w:r>
          </w:p>
        </w:tc>
        <w:tc>
          <w:tcPr>
            <w:tcW w:w="95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941"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97"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97"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773"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Algemene bepalingen omtrent vervreemden van bezit</w:t>
            </w:r>
          </w:p>
        </w:tc>
        <w:tc>
          <w:tcPr>
            <w:tcW w:w="144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951"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22 t/m 27</w:t>
            </w:r>
          </w:p>
        </w:tc>
        <w:tc>
          <w:tcPr>
            <w:tcW w:w="941"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97" w:type="dxa"/>
            <w:tcBorders>
              <w:top w:val="single" w:sz="4" w:space="0" w:color="D8D8D8"/>
              <w:left w:val="single" w:sz="4" w:space="0" w:color="000000"/>
              <w:bottom w:val="single" w:sz="4" w:space="0" w:color="D8D8D8"/>
              <w:right w:val="nil"/>
            </w:tcBorders>
            <w:vAlign w:val="center"/>
          </w:tcPr>
          <w:p w:rsidR="00186BB1" w:rsidRPr="00D513CE" w:rsidRDefault="00186BB1" w:rsidP="00D513CE">
            <w:pPr>
              <w:spacing w:after="160" w:line="259" w:lineRule="auto"/>
              <w:rPr>
                <w:rFonts w:hAnsi="Calibri"/>
              </w:rPr>
            </w:pPr>
          </w:p>
        </w:tc>
        <w:tc>
          <w:tcPr>
            <w:tcW w:w="197"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66"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5607"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Nadere regels aan vervreemdingen</w:t>
            </w:r>
          </w:p>
        </w:tc>
        <w:tc>
          <w:tcPr>
            <w:tcW w:w="144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95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941" w:type="dxa"/>
            <w:tcBorders>
              <w:top w:val="single" w:sz="4" w:space="0" w:color="D8D8D8"/>
              <w:left w:val="nil"/>
              <w:bottom w:val="single" w:sz="4" w:space="0" w:color="D8D8D8"/>
              <w:right w:val="single" w:sz="4" w:space="0" w:color="000000"/>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9 t/m 12</w:t>
            </w:r>
          </w:p>
        </w:tc>
      </w:tr>
      <w:tr w:rsidR="00186BB1" w:rsidRPr="00D513CE">
        <w:trPr>
          <w:trHeight w:val="288"/>
        </w:trPr>
        <w:tc>
          <w:tcPr>
            <w:tcW w:w="197" w:type="dxa"/>
            <w:tcBorders>
              <w:top w:val="single" w:sz="4" w:space="0" w:color="D8D8D8"/>
              <w:left w:val="single" w:sz="4" w:space="0" w:color="000000"/>
              <w:bottom w:val="single" w:sz="4" w:space="0" w:color="000000"/>
              <w:right w:val="nil"/>
            </w:tcBorders>
            <w:vAlign w:val="center"/>
          </w:tcPr>
          <w:p w:rsidR="00186BB1" w:rsidRPr="00D513CE" w:rsidRDefault="00186BB1" w:rsidP="00D513CE">
            <w:pPr>
              <w:spacing w:after="160" w:line="259" w:lineRule="auto"/>
              <w:rPr>
                <w:rFonts w:hAnsi="Calibri"/>
              </w:rPr>
            </w:pPr>
          </w:p>
        </w:tc>
        <w:tc>
          <w:tcPr>
            <w:tcW w:w="197" w:type="dxa"/>
            <w:tcBorders>
              <w:top w:val="single" w:sz="4" w:space="0" w:color="D8D8D8"/>
              <w:left w:val="nil"/>
              <w:bottom w:val="single" w:sz="4" w:space="0" w:color="000000"/>
              <w:right w:val="nil"/>
            </w:tcBorders>
            <w:vAlign w:val="center"/>
          </w:tcPr>
          <w:p w:rsidR="00186BB1" w:rsidRPr="00D513CE" w:rsidRDefault="00186BB1" w:rsidP="00D513CE">
            <w:pPr>
              <w:spacing w:after="160" w:line="259" w:lineRule="auto"/>
              <w:rPr>
                <w:rFonts w:hAnsi="Calibri"/>
              </w:rPr>
            </w:pPr>
          </w:p>
        </w:tc>
        <w:tc>
          <w:tcPr>
            <w:tcW w:w="166" w:type="dxa"/>
            <w:tcBorders>
              <w:top w:val="single" w:sz="4" w:space="0" w:color="D8D8D8"/>
              <w:left w:val="nil"/>
              <w:bottom w:val="single" w:sz="4" w:space="0" w:color="000000"/>
              <w:right w:val="nil"/>
            </w:tcBorders>
            <w:vAlign w:val="center"/>
          </w:tcPr>
          <w:p w:rsidR="00186BB1" w:rsidRPr="00D513CE" w:rsidRDefault="00186BB1" w:rsidP="00D513CE">
            <w:pPr>
              <w:spacing w:after="160" w:line="259" w:lineRule="auto"/>
              <w:rPr>
                <w:rFonts w:hAnsi="Calibri"/>
              </w:rPr>
            </w:pPr>
          </w:p>
        </w:tc>
        <w:tc>
          <w:tcPr>
            <w:tcW w:w="5607" w:type="dxa"/>
            <w:tcBorders>
              <w:top w:val="single" w:sz="4" w:space="0" w:color="D8D8D8"/>
              <w:left w:val="nil"/>
              <w:bottom w:val="single" w:sz="4" w:space="0" w:color="000000"/>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Toetsing huishoudinkomen</w:t>
            </w:r>
          </w:p>
        </w:tc>
        <w:tc>
          <w:tcPr>
            <w:tcW w:w="1441" w:type="dxa"/>
            <w:tcBorders>
              <w:top w:val="single" w:sz="4" w:space="0" w:color="D8D8D8"/>
              <w:left w:val="nil"/>
              <w:bottom w:val="single" w:sz="4" w:space="0" w:color="000000"/>
              <w:right w:val="nil"/>
            </w:tcBorders>
            <w:vAlign w:val="center"/>
          </w:tcPr>
          <w:p w:rsidR="00186BB1" w:rsidRPr="00D513CE" w:rsidRDefault="00186BB1" w:rsidP="00D513CE">
            <w:pPr>
              <w:spacing w:after="160" w:line="259" w:lineRule="auto"/>
              <w:rPr>
                <w:rFonts w:hAnsi="Calibri"/>
              </w:rPr>
            </w:pPr>
          </w:p>
        </w:tc>
        <w:tc>
          <w:tcPr>
            <w:tcW w:w="951" w:type="dxa"/>
            <w:tcBorders>
              <w:top w:val="single" w:sz="4" w:space="0" w:color="D8D8D8"/>
              <w:left w:val="nil"/>
              <w:bottom w:val="single" w:sz="4" w:space="0" w:color="000000"/>
              <w:right w:val="nil"/>
            </w:tcBorders>
            <w:vAlign w:val="center"/>
          </w:tcPr>
          <w:p w:rsidR="00186BB1" w:rsidRPr="00D513CE" w:rsidRDefault="00186BB1" w:rsidP="00D513CE">
            <w:pPr>
              <w:spacing w:after="160" w:line="259" w:lineRule="auto"/>
              <w:rPr>
                <w:rFonts w:hAnsi="Calibri"/>
              </w:rPr>
            </w:pPr>
          </w:p>
        </w:tc>
        <w:tc>
          <w:tcPr>
            <w:tcW w:w="941" w:type="dxa"/>
            <w:tcBorders>
              <w:top w:val="single" w:sz="4" w:space="0" w:color="D8D8D8"/>
              <w:left w:val="nil"/>
              <w:bottom w:val="single" w:sz="4" w:space="0" w:color="000000"/>
              <w:right w:val="single" w:sz="4" w:space="0" w:color="000000"/>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11</w:t>
            </w:r>
          </w:p>
        </w:tc>
      </w:tr>
    </w:tbl>
    <w:p w:rsidR="00186BB1" w:rsidRPr="00D513CE" w:rsidRDefault="00186BB1" w:rsidP="00D513CE">
      <w:pPr>
        <w:spacing w:after="160" w:line="259" w:lineRule="auto"/>
        <w:rPr>
          <w:rFonts w:hAnsi="Calibri"/>
        </w:rPr>
      </w:pPr>
    </w:p>
    <w:tbl>
      <w:tblPr>
        <w:tblW w:w="9500" w:type="dxa"/>
        <w:tblBorders>
          <w:top w:val="single" w:sz="4" w:space="0" w:color="000000"/>
          <w:left w:val="single" w:sz="4" w:space="0" w:color="000000"/>
          <w:bottom w:val="single" w:sz="4" w:space="0" w:color="000000"/>
          <w:right w:val="single" w:sz="4" w:space="0" w:color="000000"/>
          <w:insideH w:val="single" w:sz="4" w:space="0" w:color="D8D8D8"/>
        </w:tblBorders>
        <w:tblLayout w:type="fixed"/>
        <w:tblCellMar>
          <w:left w:w="70" w:type="dxa"/>
          <w:right w:w="70" w:type="dxa"/>
        </w:tblCellMar>
        <w:tblLook w:val="04A0" w:firstRow="1" w:lastRow="0" w:firstColumn="1" w:lastColumn="0" w:noHBand="0" w:noVBand="1"/>
      </w:tblPr>
      <w:tblGrid>
        <w:gridCol w:w="189"/>
        <w:gridCol w:w="188"/>
        <w:gridCol w:w="469"/>
        <w:gridCol w:w="5350"/>
        <w:gridCol w:w="1461"/>
        <w:gridCol w:w="1041"/>
        <w:gridCol w:w="802"/>
      </w:tblGrid>
      <w:tr w:rsidR="00186BB1" w:rsidRPr="00D513CE">
        <w:trPr>
          <w:trHeight w:val="288"/>
        </w:trPr>
        <w:tc>
          <w:tcPr>
            <w:tcW w:w="6196" w:type="dxa"/>
            <w:gridSpan w:val="4"/>
            <w:tcBorders>
              <w:top w:val="single" w:sz="4" w:space="0" w:color="000000"/>
              <w:left w:val="single" w:sz="4" w:space="0" w:color="000000"/>
              <w:bottom w:val="single" w:sz="4" w:space="0" w:color="D8D8D8"/>
              <w:right w:val="nil"/>
            </w:tcBorders>
            <w:shd w:val="clear" w:color="000000" w:fill="A5A5A5" w:themeFill="background1" w:themeFillShade="A5"/>
            <w:vAlign w:val="center"/>
          </w:tcPr>
          <w:p w:rsidR="00186BB1" w:rsidRPr="00D513CE" w:rsidRDefault="00140307" w:rsidP="00D513CE">
            <w:pPr>
              <w:pStyle w:val="Kop1"/>
              <w:spacing w:line="276" w:lineRule="auto"/>
              <w:rPr>
                <w:rFonts w:ascii="Verdana" w:hAnsi="Calibri"/>
              </w:rPr>
            </w:pPr>
            <w:bookmarkStart w:id="10" w:name="e"/>
            <w:bookmarkStart w:id="11" w:name="_Toc422496694"/>
            <w:bookmarkEnd w:id="10"/>
            <w:r w:rsidRPr="00D513CE">
              <w:rPr>
                <w:rFonts w:ascii="Verdana" w:hAnsi="Calibri"/>
              </w:rPr>
              <w:t>Werkzaamheden</w:t>
            </w:r>
            <w:bookmarkEnd w:id="11"/>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p>
        </w:tc>
        <w:tc>
          <w:tcPr>
            <w:tcW w:w="1461"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Woningwet</w:t>
            </w:r>
          </w:p>
        </w:tc>
        <w:tc>
          <w:tcPr>
            <w:tcW w:w="1041"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BTIV</w:t>
            </w:r>
          </w:p>
        </w:tc>
        <w:tc>
          <w:tcPr>
            <w:tcW w:w="802" w:type="dxa"/>
            <w:tcBorders>
              <w:top w:val="single" w:sz="4" w:space="0" w:color="000000"/>
              <w:left w:val="nil"/>
              <w:bottom w:val="single" w:sz="4" w:space="0" w:color="D8D8D8"/>
              <w:right w:val="single" w:sz="4" w:space="0" w:color="000000"/>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Regeling</w:t>
            </w:r>
          </w:p>
        </w:tc>
      </w:tr>
      <w:tr w:rsidR="00186BB1" w:rsidRPr="00D513CE">
        <w:trPr>
          <w:trHeight w:val="288"/>
        </w:trPr>
        <w:tc>
          <w:tcPr>
            <w:tcW w:w="189"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007"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Werkgebied </w:t>
            </w:r>
            <w:r w:rsidRPr="00D513CE">
              <w:rPr>
                <w:rFonts w:ascii="Verdana" w:hAnsi="Calibri"/>
              </w:rPr>
              <w:t> </w:t>
            </w:r>
            <w:r w:rsidRPr="00D513CE">
              <w:rPr>
                <w:rFonts w:ascii="Verdana" w:hAnsi="Calibri"/>
              </w:rPr>
              <w:t xml:space="preserve"> </w:t>
            </w:r>
            <w:r w:rsidRPr="00D513CE">
              <w:rPr>
                <w:rFonts w:ascii="Verdana" w:hAnsi="Calibri"/>
              </w:rPr>
              <w:t> </w:t>
            </w:r>
          </w:p>
        </w:tc>
        <w:tc>
          <w:tcPr>
            <w:tcW w:w="146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40, 41a</w:t>
            </w:r>
          </w:p>
        </w:tc>
        <w:tc>
          <w:tcPr>
            <w:tcW w:w="104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802"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8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Goedkeuring van activiteit in grensgemeenten </w:t>
            </w:r>
            <w:r w:rsidRPr="00D513CE">
              <w:rPr>
                <w:rFonts w:hAnsi="Calibri"/>
                <w:color w:val="000000"/>
                <w:sz w:val="16"/>
                <w:szCs w:val="16"/>
              </w:rPr>
              <w:t> </w:t>
            </w:r>
          </w:p>
        </w:tc>
        <w:tc>
          <w:tcPr>
            <w:tcW w:w="146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041"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34</w:t>
            </w:r>
          </w:p>
        </w:tc>
        <w:tc>
          <w:tcPr>
            <w:tcW w:w="80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007"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Woningmarktregio </w:t>
            </w:r>
            <w:r w:rsidRPr="00D513CE">
              <w:rPr>
                <w:rFonts w:ascii="Verdana" w:hAnsi="Calibri"/>
              </w:rPr>
              <w:t> </w:t>
            </w:r>
            <w:r w:rsidRPr="00D513CE">
              <w:rPr>
                <w:rFonts w:ascii="Verdana" w:hAnsi="Calibri"/>
              </w:rPr>
              <w:t xml:space="preserve"> </w:t>
            </w:r>
            <w:r w:rsidRPr="00D513CE">
              <w:rPr>
                <w:rFonts w:ascii="Verdana" w:hAnsi="Calibri"/>
              </w:rPr>
              <w:t> </w:t>
            </w:r>
          </w:p>
        </w:tc>
        <w:tc>
          <w:tcPr>
            <w:tcW w:w="146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41, 41b, 41c, 41d</w:t>
            </w:r>
          </w:p>
        </w:tc>
        <w:tc>
          <w:tcPr>
            <w:tcW w:w="104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802"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lastRenderedPageBreak/>
              <w:t> </w:t>
            </w:r>
          </w:p>
        </w:tc>
        <w:tc>
          <w:tcPr>
            <w:tcW w:w="18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8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Regiovorming  </w:t>
            </w:r>
            <w:r w:rsidRPr="00D513CE">
              <w:rPr>
                <w:rFonts w:hAnsi="Calibri"/>
                <w:color w:val="000000"/>
                <w:sz w:val="16"/>
                <w:szCs w:val="16"/>
              </w:rPr>
              <w:t> </w:t>
            </w:r>
          </w:p>
        </w:tc>
        <w:tc>
          <w:tcPr>
            <w:tcW w:w="146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041"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35</w:t>
            </w:r>
          </w:p>
        </w:tc>
        <w:tc>
          <w:tcPr>
            <w:tcW w:w="80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8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Doelgroepen categorale instellingen </w:t>
            </w:r>
            <w:r w:rsidRPr="00D513CE">
              <w:rPr>
                <w:rFonts w:hAnsi="Calibri"/>
                <w:color w:val="000000"/>
                <w:sz w:val="16"/>
                <w:szCs w:val="16"/>
              </w:rPr>
              <w:t> </w:t>
            </w:r>
          </w:p>
        </w:tc>
        <w:tc>
          <w:tcPr>
            <w:tcW w:w="146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041"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36</w:t>
            </w:r>
          </w:p>
        </w:tc>
        <w:tc>
          <w:tcPr>
            <w:tcW w:w="80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8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Ontheffing regiovorming  </w:t>
            </w:r>
            <w:r w:rsidRPr="00D513CE">
              <w:rPr>
                <w:rFonts w:hAnsi="Calibri"/>
                <w:color w:val="000000"/>
                <w:sz w:val="16"/>
                <w:szCs w:val="16"/>
              </w:rPr>
              <w:t> </w:t>
            </w:r>
          </w:p>
        </w:tc>
        <w:tc>
          <w:tcPr>
            <w:tcW w:w="146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041"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37</w:t>
            </w:r>
          </w:p>
        </w:tc>
        <w:tc>
          <w:tcPr>
            <w:tcW w:w="80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86BB1" w:rsidP="00D513CE">
            <w:pPr>
              <w:spacing w:after="160"/>
              <w:rPr>
                <w:rFonts w:hAnsi="Calibri"/>
                <w:color w:val="000000"/>
                <w:sz w:val="16"/>
                <w:szCs w:val="16"/>
              </w:rPr>
            </w:pPr>
          </w:p>
        </w:tc>
        <w:tc>
          <w:tcPr>
            <w:tcW w:w="188" w:type="dxa"/>
            <w:tcBorders>
              <w:top w:val="single" w:sz="4" w:space="0" w:color="D8D8D8"/>
              <w:left w:val="nil"/>
              <w:bottom w:val="single" w:sz="4" w:space="0" w:color="D8D8D8"/>
              <w:right w:val="nil"/>
            </w:tcBorders>
            <w:vAlign w:val="center"/>
          </w:tcPr>
          <w:p w:rsidR="00186BB1" w:rsidRPr="00D513CE" w:rsidRDefault="00186BB1" w:rsidP="00D513CE">
            <w:pPr>
              <w:spacing w:after="160"/>
              <w:rPr>
                <w:rFonts w:hAnsi="Calibri"/>
                <w:color w:val="000000"/>
                <w:sz w:val="16"/>
                <w:szCs w:val="16"/>
              </w:rPr>
            </w:pPr>
          </w:p>
        </w:tc>
        <w:tc>
          <w:tcPr>
            <w:tcW w:w="58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Kleine ontheffing </w:t>
            </w:r>
          </w:p>
        </w:tc>
        <w:tc>
          <w:tcPr>
            <w:tcW w:w="146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041"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37a</w:t>
            </w:r>
          </w:p>
        </w:tc>
        <w:tc>
          <w:tcPr>
            <w:tcW w:w="80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007"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Redelijke bijdrage aan volkshuisvesting / verevening</w:t>
            </w:r>
          </w:p>
        </w:tc>
        <w:tc>
          <w:tcPr>
            <w:tcW w:w="146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42</w:t>
            </w:r>
          </w:p>
        </w:tc>
        <w:tc>
          <w:tcPr>
            <w:tcW w:w="104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802"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8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Indicatie van beschikbare middelen </w:t>
            </w:r>
            <w:proofErr w:type="spellStart"/>
            <w:r w:rsidRPr="00D513CE">
              <w:rPr>
                <w:rFonts w:hAnsi="Calibri"/>
                <w:color w:val="000000"/>
                <w:sz w:val="16"/>
                <w:szCs w:val="16"/>
              </w:rPr>
              <w:t>tbv</w:t>
            </w:r>
            <w:proofErr w:type="spellEnd"/>
            <w:r w:rsidRPr="00D513CE">
              <w:rPr>
                <w:rFonts w:hAnsi="Calibri"/>
                <w:color w:val="000000"/>
                <w:sz w:val="16"/>
                <w:szCs w:val="16"/>
              </w:rPr>
              <w:t xml:space="preserve"> uitvoering volkshuisvestingsbeleid </w:t>
            </w:r>
            <w:r w:rsidRPr="00D513CE">
              <w:rPr>
                <w:rFonts w:hAnsi="Calibri"/>
                <w:color w:val="000000"/>
                <w:sz w:val="16"/>
                <w:szCs w:val="16"/>
              </w:rPr>
              <w:t> </w:t>
            </w:r>
          </w:p>
        </w:tc>
        <w:tc>
          <w:tcPr>
            <w:tcW w:w="146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041"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38</w:t>
            </w:r>
          </w:p>
        </w:tc>
        <w:tc>
          <w:tcPr>
            <w:tcW w:w="80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007"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Prestatieafspraken </w:t>
            </w:r>
            <w:r w:rsidRPr="00D513CE">
              <w:rPr>
                <w:rFonts w:ascii="Verdana" w:hAnsi="Calibri"/>
              </w:rPr>
              <w:t> </w:t>
            </w:r>
            <w:r w:rsidRPr="00D513CE">
              <w:rPr>
                <w:rFonts w:ascii="Verdana" w:hAnsi="Calibri"/>
              </w:rPr>
              <w:t xml:space="preserve"> </w:t>
            </w:r>
            <w:r w:rsidRPr="00D513CE">
              <w:rPr>
                <w:rFonts w:ascii="Verdana" w:hAnsi="Calibri"/>
              </w:rPr>
              <w:t> </w:t>
            </w:r>
          </w:p>
        </w:tc>
        <w:tc>
          <w:tcPr>
            <w:tcW w:w="146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43, 44, 44a</w:t>
            </w:r>
          </w:p>
        </w:tc>
        <w:tc>
          <w:tcPr>
            <w:tcW w:w="104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802"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86BB1" w:rsidP="00D513CE">
            <w:pPr>
              <w:spacing w:after="160"/>
              <w:rPr>
                <w:rFonts w:hAnsi="Calibri"/>
                <w:color w:val="000000"/>
                <w:sz w:val="16"/>
                <w:szCs w:val="16"/>
              </w:rPr>
            </w:pPr>
          </w:p>
        </w:tc>
        <w:tc>
          <w:tcPr>
            <w:tcW w:w="188" w:type="dxa"/>
            <w:tcBorders>
              <w:top w:val="single" w:sz="4" w:space="0" w:color="D8D8D8"/>
              <w:left w:val="nil"/>
              <w:bottom w:val="single" w:sz="4" w:space="0" w:color="D8D8D8"/>
              <w:right w:val="nil"/>
            </w:tcBorders>
            <w:vAlign w:val="center"/>
          </w:tcPr>
          <w:p w:rsidR="00186BB1" w:rsidRPr="00D513CE" w:rsidRDefault="00186BB1" w:rsidP="00D513CE">
            <w:pPr>
              <w:spacing w:after="160"/>
              <w:rPr>
                <w:rFonts w:hAnsi="Calibri"/>
                <w:color w:val="000000"/>
                <w:sz w:val="16"/>
                <w:szCs w:val="16"/>
              </w:rPr>
            </w:pPr>
          </w:p>
        </w:tc>
        <w:tc>
          <w:tcPr>
            <w:tcW w:w="58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Overzicht van voorgenomen werkzaamheden </w:t>
            </w:r>
            <w:r w:rsidRPr="00D513CE">
              <w:rPr>
                <w:rFonts w:hAnsi="Calibri"/>
                <w:color w:val="000000"/>
                <w:sz w:val="16"/>
                <w:szCs w:val="16"/>
              </w:rPr>
              <w:t> </w:t>
            </w:r>
            <w:r w:rsidRPr="00D513CE">
              <w:rPr>
                <w:rFonts w:hAnsi="Calibri"/>
                <w:color w:val="000000"/>
                <w:sz w:val="16"/>
                <w:szCs w:val="16"/>
              </w:rPr>
              <w:t>(</w:t>
            </w:r>
            <w:r w:rsidRPr="00D513CE">
              <w:rPr>
                <w:rFonts w:hAnsi="Calibri"/>
                <w:color w:val="000000"/>
                <w:sz w:val="16"/>
                <w:szCs w:val="16"/>
              </w:rPr>
              <w:t>“</w:t>
            </w:r>
            <w:r w:rsidRPr="00D513CE">
              <w:rPr>
                <w:rFonts w:hAnsi="Calibri"/>
                <w:color w:val="000000"/>
                <w:sz w:val="16"/>
                <w:szCs w:val="16"/>
              </w:rPr>
              <w:t>bod</w:t>
            </w:r>
            <w:r w:rsidRPr="00D513CE">
              <w:rPr>
                <w:rFonts w:hAnsi="Calibri"/>
                <w:color w:val="000000"/>
                <w:sz w:val="16"/>
                <w:szCs w:val="16"/>
              </w:rPr>
              <w:t>”</w:t>
            </w:r>
            <w:r w:rsidRPr="00D513CE">
              <w:rPr>
                <w:rFonts w:hAnsi="Calibri"/>
                <w:color w:val="000000"/>
                <w:sz w:val="16"/>
                <w:szCs w:val="16"/>
              </w:rPr>
              <w:t>)</w:t>
            </w:r>
          </w:p>
        </w:tc>
        <w:tc>
          <w:tcPr>
            <w:tcW w:w="146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041"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39</w:t>
            </w:r>
          </w:p>
        </w:tc>
        <w:tc>
          <w:tcPr>
            <w:tcW w:w="80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8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Geschilbeslechting bij conflict inzake prestatieafspraken </w:t>
            </w:r>
            <w:r w:rsidRPr="00D513CE">
              <w:rPr>
                <w:rFonts w:hAnsi="Calibri"/>
                <w:color w:val="000000"/>
                <w:sz w:val="16"/>
                <w:szCs w:val="16"/>
              </w:rPr>
              <w:t> </w:t>
            </w:r>
          </w:p>
        </w:tc>
        <w:tc>
          <w:tcPr>
            <w:tcW w:w="146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041"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40</w:t>
            </w:r>
          </w:p>
        </w:tc>
        <w:tc>
          <w:tcPr>
            <w:tcW w:w="80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8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Beoordeling van feitelijke voorgenomen werkzaamheden </w:t>
            </w:r>
            <w:r w:rsidRPr="00D513CE">
              <w:rPr>
                <w:rFonts w:hAnsi="Calibri"/>
                <w:color w:val="000000"/>
                <w:sz w:val="16"/>
                <w:szCs w:val="16"/>
              </w:rPr>
              <w:t> </w:t>
            </w:r>
          </w:p>
        </w:tc>
        <w:tc>
          <w:tcPr>
            <w:tcW w:w="146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041"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41</w:t>
            </w:r>
          </w:p>
        </w:tc>
        <w:tc>
          <w:tcPr>
            <w:tcW w:w="80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469"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350"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Inrichting </w:t>
            </w:r>
            <w:proofErr w:type="spellStart"/>
            <w:r w:rsidRPr="00D513CE">
              <w:rPr>
                <w:rFonts w:hAnsi="Calibri"/>
                <w:color w:val="000000"/>
                <w:sz w:val="16"/>
                <w:szCs w:val="16"/>
              </w:rPr>
              <w:t>dPi</w:t>
            </w:r>
            <w:proofErr w:type="spellEnd"/>
          </w:p>
        </w:tc>
        <w:tc>
          <w:tcPr>
            <w:tcW w:w="146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04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802" w:type="dxa"/>
            <w:tcBorders>
              <w:top w:val="single" w:sz="4" w:space="0" w:color="D8D8D8"/>
              <w:left w:val="nil"/>
              <w:bottom w:val="single" w:sz="4" w:space="0" w:color="D8D8D8"/>
              <w:right w:val="single" w:sz="4" w:space="0" w:color="000000"/>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19</w:t>
            </w:r>
          </w:p>
        </w:tc>
      </w:tr>
      <w:tr w:rsidR="00186BB1" w:rsidRPr="00D513CE">
        <w:trPr>
          <w:trHeight w:val="288"/>
        </w:trPr>
        <w:tc>
          <w:tcPr>
            <w:tcW w:w="189"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007"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Verantwoording aan gemeente en huurdersorganisatie </w:t>
            </w:r>
            <w:r w:rsidRPr="00D513CE">
              <w:rPr>
                <w:rFonts w:ascii="Verdana" w:hAnsi="Calibri"/>
              </w:rPr>
              <w:t> </w:t>
            </w:r>
            <w:r w:rsidRPr="00D513CE">
              <w:rPr>
                <w:rFonts w:ascii="Verdana" w:hAnsi="Calibri"/>
              </w:rPr>
              <w:t xml:space="preserve"> </w:t>
            </w:r>
            <w:r w:rsidRPr="00D513CE">
              <w:rPr>
                <w:rFonts w:ascii="Verdana" w:hAnsi="Calibri"/>
              </w:rPr>
              <w:t> </w:t>
            </w:r>
          </w:p>
        </w:tc>
        <w:tc>
          <w:tcPr>
            <w:tcW w:w="146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44b</w:t>
            </w:r>
          </w:p>
        </w:tc>
        <w:tc>
          <w:tcPr>
            <w:tcW w:w="104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802"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007"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Markttoets </w:t>
            </w:r>
            <w:r w:rsidRPr="00D513CE">
              <w:rPr>
                <w:rFonts w:ascii="Verdana" w:hAnsi="Calibri"/>
              </w:rPr>
              <w:t> </w:t>
            </w:r>
            <w:r w:rsidRPr="00D513CE">
              <w:rPr>
                <w:rFonts w:ascii="Verdana" w:hAnsi="Calibri"/>
              </w:rPr>
              <w:t xml:space="preserve"> </w:t>
            </w:r>
            <w:r w:rsidRPr="00D513CE">
              <w:rPr>
                <w:rFonts w:ascii="Verdana" w:hAnsi="Calibri"/>
              </w:rPr>
              <w:t> </w:t>
            </w:r>
          </w:p>
        </w:tc>
        <w:tc>
          <w:tcPr>
            <w:tcW w:w="146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44c</w:t>
            </w:r>
          </w:p>
        </w:tc>
        <w:tc>
          <w:tcPr>
            <w:tcW w:w="104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802"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8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Markttoets</w:t>
            </w:r>
          </w:p>
        </w:tc>
        <w:tc>
          <w:tcPr>
            <w:tcW w:w="146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041"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41 t/m 45</w:t>
            </w:r>
          </w:p>
        </w:tc>
        <w:tc>
          <w:tcPr>
            <w:tcW w:w="80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469"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350"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Rendement bij marktconforme uitvoering en ICR en LTV</w:t>
            </w:r>
          </w:p>
        </w:tc>
        <w:tc>
          <w:tcPr>
            <w:tcW w:w="146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04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802" w:type="dxa"/>
            <w:tcBorders>
              <w:top w:val="single" w:sz="4" w:space="0" w:color="D8D8D8"/>
              <w:left w:val="nil"/>
              <w:bottom w:val="single" w:sz="4" w:space="0" w:color="D8D8D8"/>
              <w:right w:val="single" w:sz="4" w:space="0" w:color="000000"/>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20</w:t>
            </w:r>
          </w:p>
        </w:tc>
      </w:tr>
      <w:tr w:rsidR="00186BB1" w:rsidRPr="00D513CE">
        <w:trPr>
          <w:trHeight w:val="288"/>
        </w:trPr>
        <w:tc>
          <w:tcPr>
            <w:tcW w:w="189"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007"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Gebied van de volkshuisvesting </w:t>
            </w:r>
            <w:r w:rsidRPr="00D513CE">
              <w:rPr>
                <w:rFonts w:ascii="Verdana" w:hAnsi="Calibri"/>
              </w:rPr>
              <w:t> </w:t>
            </w:r>
            <w:r w:rsidRPr="00D513CE">
              <w:rPr>
                <w:rFonts w:ascii="Verdana" w:hAnsi="Calibri"/>
              </w:rPr>
              <w:t xml:space="preserve"> </w:t>
            </w:r>
            <w:r w:rsidRPr="00D513CE">
              <w:rPr>
                <w:rFonts w:ascii="Verdana" w:hAnsi="Calibri"/>
              </w:rPr>
              <w:t> </w:t>
            </w:r>
          </w:p>
        </w:tc>
        <w:tc>
          <w:tcPr>
            <w:tcW w:w="146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45</w:t>
            </w:r>
          </w:p>
        </w:tc>
        <w:tc>
          <w:tcPr>
            <w:tcW w:w="104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802"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8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Mate waarin de ti binnen verbindingen uitsluitend werkzaam is op gebied van </w:t>
            </w:r>
            <w:proofErr w:type="spellStart"/>
            <w:r w:rsidRPr="00D513CE">
              <w:rPr>
                <w:rFonts w:hAnsi="Calibri"/>
                <w:color w:val="000000"/>
                <w:sz w:val="16"/>
                <w:szCs w:val="16"/>
              </w:rPr>
              <w:t>vhv</w:t>
            </w:r>
            <w:proofErr w:type="spellEnd"/>
            <w:r w:rsidRPr="00D513CE">
              <w:rPr>
                <w:rFonts w:hAnsi="Calibri"/>
                <w:color w:val="000000"/>
                <w:sz w:val="16"/>
                <w:szCs w:val="16"/>
              </w:rPr>
              <w:t xml:space="preserve"> </w:t>
            </w:r>
            <w:r w:rsidRPr="00D513CE">
              <w:rPr>
                <w:rFonts w:hAnsi="Calibri"/>
                <w:color w:val="000000"/>
                <w:sz w:val="16"/>
                <w:szCs w:val="16"/>
              </w:rPr>
              <w:t> </w:t>
            </w:r>
          </w:p>
        </w:tc>
        <w:tc>
          <w:tcPr>
            <w:tcW w:w="146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041"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46</w:t>
            </w:r>
          </w:p>
        </w:tc>
        <w:tc>
          <w:tcPr>
            <w:tcW w:w="80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8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Leefbaarheid </w:t>
            </w:r>
            <w:r w:rsidRPr="00D513CE">
              <w:rPr>
                <w:rFonts w:hAnsi="Calibri"/>
                <w:color w:val="000000"/>
                <w:sz w:val="16"/>
                <w:szCs w:val="16"/>
              </w:rPr>
              <w:t> </w:t>
            </w:r>
          </w:p>
        </w:tc>
        <w:tc>
          <w:tcPr>
            <w:tcW w:w="146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041"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51</w:t>
            </w:r>
          </w:p>
        </w:tc>
        <w:tc>
          <w:tcPr>
            <w:tcW w:w="80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8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Definitie van werkzaamheden op het gebied van de </w:t>
            </w:r>
            <w:proofErr w:type="spellStart"/>
            <w:r w:rsidRPr="00D513CE">
              <w:rPr>
                <w:rFonts w:hAnsi="Calibri"/>
                <w:color w:val="000000"/>
                <w:sz w:val="16"/>
                <w:szCs w:val="16"/>
              </w:rPr>
              <w:t>vhv</w:t>
            </w:r>
            <w:proofErr w:type="spellEnd"/>
            <w:r w:rsidRPr="00D513CE">
              <w:rPr>
                <w:rFonts w:hAnsi="Calibri"/>
                <w:color w:val="000000"/>
                <w:sz w:val="16"/>
                <w:szCs w:val="16"/>
              </w:rPr>
              <w:t xml:space="preserve"> </w:t>
            </w:r>
            <w:r w:rsidRPr="00D513CE">
              <w:rPr>
                <w:rFonts w:hAnsi="Calibri"/>
                <w:color w:val="000000"/>
                <w:sz w:val="16"/>
                <w:szCs w:val="16"/>
              </w:rPr>
              <w:t> </w:t>
            </w:r>
          </w:p>
        </w:tc>
        <w:tc>
          <w:tcPr>
            <w:tcW w:w="146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041"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47 t/m 52</w:t>
            </w:r>
          </w:p>
        </w:tc>
        <w:tc>
          <w:tcPr>
            <w:tcW w:w="80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469"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350"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Rendement basisscholen en centra voor jeugd en gezin</w:t>
            </w:r>
          </w:p>
        </w:tc>
        <w:tc>
          <w:tcPr>
            <w:tcW w:w="146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04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802" w:type="dxa"/>
            <w:tcBorders>
              <w:top w:val="single" w:sz="4" w:space="0" w:color="D8D8D8"/>
              <w:left w:val="nil"/>
              <w:bottom w:val="single" w:sz="4" w:space="0" w:color="D8D8D8"/>
              <w:right w:val="single" w:sz="4" w:space="0" w:color="000000"/>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21</w:t>
            </w: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8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Verbod op transacties gericht op wijzigen van eigendomsverhoudingen </w:t>
            </w:r>
            <w:r w:rsidRPr="00D513CE">
              <w:rPr>
                <w:rFonts w:hAnsi="Calibri"/>
                <w:color w:val="000000"/>
                <w:sz w:val="16"/>
                <w:szCs w:val="16"/>
              </w:rPr>
              <w:t> </w:t>
            </w:r>
          </w:p>
        </w:tc>
        <w:tc>
          <w:tcPr>
            <w:tcW w:w="146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041"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52a</w:t>
            </w:r>
          </w:p>
        </w:tc>
        <w:tc>
          <w:tcPr>
            <w:tcW w:w="80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86BB1" w:rsidP="00D513CE">
            <w:pPr>
              <w:spacing w:after="160"/>
              <w:rPr>
                <w:rFonts w:hAnsi="Calibri"/>
                <w:color w:val="000000"/>
                <w:sz w:val="16"/>
                <w:szCs w:val="16"/>
              </w:rPr>
            </w:pPr>
          </w:p>
        </w:tc>
        <w:tc>
          <w:tcPr>
            <w:tcW w:w="188" w:type="dxa"/>
            <w:tcBorders>
              <w:top w:val="single" w:sz="4" w:space="0" w:color="D8D8D8"/>
              <w:left w:val="nil"/>
              <w:bottom w:val="single" w:sz="4" w:space="0" w:color="D8D8D8"/>
              <w:right w:val="nil"/>
            </w:tcBorders>
            <w:vAlign w:val="center"/>
          </w:tcPr>
          <w:p w:rsidR="00186BB1" w:rsidRPr="00D513CE" w:rsidRDefault="00186BB1" w:rsidP="00D513CE">
            <w:pPr>
              <w:spacing w:after="160"/>
              <w:rPr>
                <w:rFonts w:hAnsi="Calibri"/>
                <w:color w:val="000000"/>
                <w:sz w:val="16"/>
                <w:szCs w:val="16"/>
              </w:rPr>
            </w:pPr>
          </w:p>
        </w:tc>
        <w:tc>
          <w:tcPr>
            <w:tcW w:w="58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Diensten ten behoeve van derden</w:t>
            </w:r>
          </w:p>
        </w:tc>
        <w:tc>
          <w:tcPr>
            <w:tcW w:w="146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041"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52b t/m 52 h</w:t>
            </w:r>
          </w:p>
        </w:tc>
        <w:tc>
          <w:tcPr>
            <w:tcW w:w="80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86BB1" w:rsidP="00D513CE">
            <w:pPr>
              <w:pStyle w:val="Kop2"/>
              <w:spacing w:line="276" w:lineRule="auto"/>
              <w:rPr>
                <w:rFonts w:ascii="Verdana" w:hAnsi="Calibri"/>
              </w:rPr>
            </w:pPr>
          </w:p>
        </w:tc>
        <w:tc>
          <w:tcPr>
            <w:tcW w:w="6007"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Werkzaamheden voor vergunninghouders</w:t>
            </w:r>
          </w:p>
        </w:tc>
        <w:tc>
          <w:tcPr>
            <w:tcW w:w="146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45a</w:t>
            </w:r>
          </w:p>
        </w:tc>
        <w:tc>
          <w:tcPr>
            <w:tcW w:w="104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802"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shd w:val="clear" w:color="000000" w:fill="FFFFFF" w:themeFill="background1"/>
            <w:vAlign w:val="center"/>
          </w:tcPr>
          <w:p w:rsidR="00186BB1" w:rsidRPr="00D513CE" w:rsidRDefault="00186BB1" w:rsidP="00D513CE">
            <w:pPr>
              <w:pStyle w:val="Kop2"/>
              <w:spacing w:line="276" w:lineRule="auto"/>
              <w:rPr>
                <w:rFonts w:ascii="Verdana" w:hAnsi="Calibri"/>
              </w:rPr>
            </w:pPr>
          </w:p>
        </w:tc>
        <w:tc>
          <w:tcPr>
            <w:tcW w:w="6007" w:type="dxa"/>
            <w:gridSpan w:val="3"/>
            <w:tcBorders>
              <w:top w:val="single" w:sz="4" w:space="0" w:color="D8D8D8"/>
              <w:left w:val="nil"/>
              <w:bottom w:val="single" w:sz="4" w:space="0" w:color="D8D8D8"/>
              <w:right w:val="nil"/>
            </w:tcBorders>
            <w:shd w:val="clear" w:color="000000" w:fill="FFFFFF" w:themeFill="background1"/>
            <w:vAlign w:val="center"/>
          </w:tcPr>
          <w:p w:rsidR="00186BB1" w:rsidRPr="00D513CE" w:rsidRDefault="00186BB1" w:rsidP="00D513CE">
            <w:pPr>
              <w:pStyle w:val="Kop2"/>
              <w:spacing w:line="276" w:lineRule="auto"/>
              <w:rPr>
                <w:rFonts w:ascii="Verdana" w:hAnsi="Calibri"/>
              </w:rPr>
            </w:pPr>
          </w:p>
        </w:tc>
        <w:tc>
          <w:tcPr>
            <w:tcW w:w="1461" w:type="dxa"/>
            <w:tcBorders>
              <w:top w:val="single" w:sz="4" w:space="0" w:color="D8D8D8"/>
              <w:left w:val="nil"/>
              <w:bottom w:val="single" w:sz="4" w:space="0" w:color="D8D8D8"/>
              <w:right w:val="nil"/>
            </w:tcBorders>
            <w:shd w:val="clear" w:color="000000" w:fill="FFFFFF" w:themeFill="background1"/>
            <w:vAlign w:val="center"/>
          </w:tcPr>
          <w:p w:rsidR="00186BB1" w:rsidRPr="00D513CE" w:rsidRDefault="00186BB1" w:rsidP="00D513CE">
            <w:pPr>
              <w:pStyle w:val="Kop2"/>
              <w:spacing w:line="276" w:lineRule="auto"/>
              <w:jc w:val="center"/>
              <w:rPr>
                <w:rFonts w:ascii="Verdana" w:hAnsi="Calibri"/>
              </w:rPr>
            </w:pPr>
          </w:p>
        </w:tc>
        <w:tc>
          <w:tcPr>
            <w:tcW w:w="1041" w:type="dxa"/>
            <w:tcBorders>
              <w:top w:val="single" w:sz="4" w:space="0" w:color="D8D8D8"/>
              <w:left w:val="nil"/>
              <w:bottom w:val="single" w:sz="4" w:space="0" w:color="D8D8D8"/>
              <w:right w:val="nil"/>
            </w:tcBorders>
            <w:shd w:val="clear" w:color="000000" w:fill="FFFFFF" w:themeFill="background1"/>
            <w:vAlign w:val="center"/>
          </w:tcPr>
          <w:p w:rsidR="00186BB1" w:rsidRPr="00D513CE" w:rsidRDefault="00140307" w:rsidP="00D513CE">
            <w:pPr>
              <w:spacing w:after="160"/>
              <w:jc w:val="center"/>
              <w:rPr>
                <w:rFonts w:hAnsi="Calibri"/>
              </w:rPr>
            </w:pPr>
            <w:r w:rsidRPr="00D513CE">
              <w:rPr>
                <w:rFonts w:hAnsi="Calibri"/>
                <w:color w:val="000000"/>
                <w:sz w:val="16"/>
                <w:szCs w:val="16"/>
              </w:rPr>
              <w:t>53a t/m 53f</w:t>
            </w:r>
          </w:p>
        </w:tc>
        <w:tc>
          <w:tcPr>
            <w:tcW w:w="802" w:type="dxa"/>
            <w:tcBorders>
              <w:top w:val="single" w:sz="4" w:space="0" w:color="D8D8D8"/>
              <w:left w:val="nil"/>
              <w:bottom w:val="single" w:sz="4" w:space="0" w:color="D8D8D8"/>
              <w:right w:val="single" w:sz="4" w:space="0" w:color="000000"/>
            </w:tcBorders>
            <w:shd w:val="clear" w:color="000000" w:fill="FFFFFF" w:themeFill="background1"/>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007"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Opdracht voorrang huisvesting doelgroep / </w:t>
            </w:r>
            <w:proofErr w:type="spellStart"/>
            <w:r w:rsidRPr="00D513CE">
              <w:rPr>
                <w:rFonts w:ascii="Verdana" w:hAnsi="Calibri"/>
              </w:rPr>
              <w:t>passendheidstoets</w:t>
            </w:r>
            <w:proofErr w:type="spellEnd"/>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p>
        </w:tc>
        <w:tc>
          <w:tcPr>
            <w:tcW w:w="146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46</w:t>
            </w:r>
          </w:p>
        </w:tc>
        <w:tc>
          <w:tcPr>
            <w:tcW w:w="104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802"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8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Percentage </w:t>
            </w:r>
            <w:proofErr w:type="spellStart"/>
            <w:r w:rsidRPr="00D513CE">
              <w:rPr>
                <w:rFonts w:hAnsi="Calibri"/>
                <w:color w:val="000000"/>
                <w:sz w:val="16"/>
                <w:szCs w:val="16"/>
              </w:rPr>
              <w:t>passendheid</w:t>
            </w:r>
            <w:proofErr w:type="spellEnd"/>
            <w:r w:rsidRPr="00D513CE">
              <w:rPr>
                <w:rFonts w:hAnsi="Calibri"/>
                <w:color w:val="000000"/>
                <w:sz w:val="16"/>
                <w:szCs w:val="16"/>
              </w:rPr>
              <w:t> </w:t>
            </w:r>
          </w:p>
        </w:tc>
        <w:tc>
          <w:tcPr>
            <w:tcW w:w="146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041"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54</w:t>
            </w:r>
          </w:p>
        </w:tc>
        <w:tc>
          <w:tcPr>
            <w:tcW w:w="80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81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proofErr w:type="spellStart"/>
            <w:r w:rsidRPr="00D513CE">
              <w:rPr>
                <w:rFonts w:hAnsi="Calibri"/>
                <w:color w:val="000000"/>
                <w:sz w:val="16"/>
                <w:szCs w:val="16"/>
              </w:rPr>
              <w:t>Passendheidstoets</w:t>
            </w:r>
            <w:proofErr w:type="spellEnd"/>
            <w:r w:rsidRPr="00D513CE">
              <w:rPr>
                <w:rFonts w:hAnsi="Calibri"/>
                <w:color w:val="000000"/>
                <w:sz w:val="16"/>
                <w:szCs w:val="16"/>
              </w:rPr>
              <w:t xml:space="preserve"> </w:t>
            </w:r>
            <w:r w:rsidRPr="00D513CE">
              <w:rPr>
                <w:rFonts w:hAnsi="Calibri"/>
                <w:color w:val="000000"/>
                <w:sz w:val="16"/>
                <w:szCs w:val="16"/>
              </w:rPr>
              <w:t> </w:t>
            </w:r>
          </w:p>
        </w:tc>
        <w:tc>
          <w:tcPr>
            <w:tcW w:w="146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041"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54 t/m 56</w:t>
            </w:r>
          </w:p>
        </w:tc>
        <w:tc>
          <w:tcPr>
            <w:tcW w:w="80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000000"/>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8" w:type="dxa"/>
            <w:tcBorders>
              <w:top w:val="single" w:sz="4" w:space="0" w:color="D8D8D8"/>
              <w:left w:val="nil"/>
              <w:bottom w:val="single" w:sz="4" w:space="0" w:color="000000"/>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819" w:type="dxa"/>
            <w:gridSpan w:val="2"/>
            <w:tcBorders>
              <w:top w:val="single" w:sz="4" w:space="0" w:color="D8D8D8"/>
              <w:left w:val="nil"/>
              <w:bottom w:val="single" w:sz="4" w:space="0" w:color="000000"/>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Toewijzen van woningen  </w:t>
            </w:r>
            <w:r w:rsidRPr="00D513CE">
              <w:rPr>
                <w:rFonts w:hAnsi="Calibri"/>
                <w:color w:val="000000"/>
                <w:sz w:val="16"/>
                <w:szCs w:val="16"/>
              </w:rPr>
              <w:t> </w:t>
            </w:r>
          </w:p>
        </w:tc>
        <w:tc>
          <w:tcPr>
            <w:tcW w:w="1461" w:type="dxa"/>
            <w:tcBorders>
              <w:top w:val="single" w:sz="4" w:space="0" w:color="D8D8D8"/>
              <w:left w:val="nil"/>
              <w:bottom w:val="single" w:sz="4" w:space="0" w:color="000000"/>
              <w:right w:val="nil"/>
            </w:tcBorders>
            <w:vAlign w:val="center"/>
          </w:tcPr>
          <w:p w:rsidR="00186BB1" w:rsidRPr="00D513CE" w:rsidRDefault="00186BB1" w:rsidP="00D513CE">
            <w:pPr>
              <w:spacing w:after="160" w:line="259" w:lineRule="auto"/>
              <w:rPr>
                <w:rFonts w:hAnsi="Calibri"/>
              </w:rPr>
            </w:pPr>
          </w:p>
        </w:tc>
        <w:tc>
          <w:tcPr>
            <w:tcW w:w="1041" w:type="dxa"/>
            <w:tcBorders>
              <w:top w:val="single" w:sz="4" w:space="0" w:color="D8D8D8"/>
              <w:left w:val="nil"/>
              <w:bottom w:val="single" w:sz="4" w:space="0" w:color="000000"/>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57 t/m 60</w:t>
            </w:r>
          </w:p>
        </w:tc>
        <w:tc>
          <w:tcPr>
            <w:tcW w:w="802" w:type="dxa"/>
            <w:tcBorders>
              <w:top w:val="single" w:sz="4" w:space="0" w:color="D8D8D8"/>
              <w:left w:val="nil"/>
              <w:bottom w:val="single" w:sz="4" w:space="0" w:color="000000"/>
              <w:right w:val="single" w:sz="4" w:space="0" w:color="000000"/>
            </w:tcBorders>
            <w:vAlign w:val="center"/>
          </w:tcPr>
          <w:p w:rsidR="00186BB1" w:rsidRPr="00D513CE" w:rsidRDefault="00186BB1" w:rsidP="00D513CE">
            <w:pPr>
              <w:spacing w:after="160" w:line="259" w:lineRule="auto"/>
              <w:rPr>
                <w:rFonts w:hAnsi="Calibri"/>
              </w:rPr>
            </w:pPr>
          </w:p>
        </w:tc>
      </w:tr>
    </w:tbl>
    <w:p w:rsidR="00186BB1" w:rsidRPr="00D513CE" w:rsidRDefault="00186BB1" w:rsidP="00D513CE">
      <w:pPr>
        <w:spacing w:after="160" w:line="259" w:lineRule="auto"/>
        <w:rPr>
          <w:rFonts w:hAnsi="Calibri"/>
        </w:rPr>
      </w:pPr>
    </w:p>
    <w:tbl>
      <w:tblPr>
        <w:tblW w:w="9500" w:type="dxa"/>
        <w:tblBorders>
          <w:top w:val="single" w:sz="4" w:space="0" w:color="000000"/>
          <w:left w:val="single" w:sz="4" w:space="0" w:color="000000"/>
          <w:bottom w:val="single" w:sz="4" w:space="0" w:color="000000"/>
          <w:right w:val="single" w:sz="4" w:space="0" w:color="000000"/>
          <w:insideH w:val="single" w:sz="4" w:space="0" w:color="D8D8D8"/>
        </w:tblBorders>
        <w:tblLayout w:type="fixed"/>
        <w:tblCellMar>
          <w:left w:w="70" w:type="dxa"/>
          <w:right w:w="70" w:type="dxa"/>
        </w:tblCellMar>
        <w:tblLook w:val="04A0" w:firstRow="1" w:lastRow="0" w:firstColumn="1" w:lastColumn="0" w:noHBand="0" w:noVBand="1"/>
      </w:tblPr>
      <w:tblGrid>
        <w:gridCol w:w="185"/>
        <w:gridCol w:w="184"/>
        <w:gridCol w:w="376"/>
        <w:gridCol w:w="6361"/>
        <w:gridCol w:w="910"/>
        <w:gridCol w:w="752"/>
        <w:gridCol w:w="732"/>
      </w:tblGrid>
      <w:tr w:rsidR="00186BB1" w:rsidRPr="00D513CE">
        <w:trPr>
          <w:trHeight w:val="288"/>
        </w:trPr>
        <w:tc>
          <w:tcPr>
            <w:tcW w:w="7106" w:type="dxa"/>
            <w:gridSpan w:val="4"/>
            <w:tcBorders>
              <w:top w:val="single" w:sz="4" w:space="0" w:color="000000"/>
              <w:left w:val="single" w:sz="4" w:space="0" w:color="000000"/>
              <w:bottom w:val="single" w:sz="4" w:space="0" w:color="D8D8D8"/>
              <w:right w:val="nil"/>
            </w:tcBorders>
            <w:shd w:val="clear" w:color="000000" w:fill="A5A5A5" w:themeFill="background1" w:themeFillShade="A5"/>
            <w:vAlign w:val="center"/>
          </w:tcPr>
          <w:p w:rsidR="00186BB1" w:rsidRPr="00D513CE" w:rsidRDefault="00140307" w:rsidP="00D513CE">
            <w:pPr>
              <w:pStyle w:val="Kop1"/>
              <w:spacing w:line="276" w:lineRule="auto"/>
              <w:rPr>
                <w:rFonts w:ascii="Verdana" w:hAnsi="Calibri"/>
              </w:rPr>
            </w:pPr>
            <w:bookmarkStart w:id="12" w:name="f"/>
            <w:bookmarkStart w:id="13" w:name="_Toc422496695"/>
            <w:bookmarkEnd w:id="12"/>
            <w:r w:rsidRPr="00D513CE">
              <w:rPr>
                <w:rFonts w:ascii="Verdana" w:hAnsi="Calibri"/>
              </w:rPr>
              <w:t>Diensten van algemeen economisch belang</w:t>
            </w:r>
            <w:bookmarkEnd w:id="13"/>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p>
        </w:tc>
        <w:tc>
          <w:tcPr>
            <w:tcW w:w="910"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Woning</w:t>
            </w:r>
            <w:r w:rsidRPr="00D513CE">
              <w:rPr>
                <w:rFonts w:ascii="Verdana" w:hAnsi="Calibri"/>
              </w:rPr>
              <w:lastRenderedPageBreak/>
              <w:t>wet</w:t>
            </w:r>
          </w:p>
        </w:tc>
        <w:tc>
          <w:tcPr>
            <w:tcW w:w="752"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lastRenderedPageBreak/>
              <w:t>BTIV</w:t>
            </w:r>
          </w:p>
        </w:tc>
        <w:tc>
          <w:tcPr>
            <w:tcW w:w="732" w:type="dxa"/>
            <w:tcBorders>
              <w:top w:val="single" w:sz="4" w:space="0" w:color="000000"/>
              <w:left w:val="nil"/>
              <w:bottom w:val="single" w:sz="4" w:space="0" w:color="D8D8D8"/>
              <w:right w:val="single" w:sz="4" w:space="0" w:color="000000"/>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Regeli</w:t>
            </w:r>
            <w:r w:rsidRPr="00D513CE">
              <w:rPr>
                <w:rFonts w:ascii="Verdana" w:hAnsi="Calibri"/>
              </w:rPr>
              <w:lastRenderedPageBreak/>
              <w:t>ng</w:t>
            </w:r>
          </w:p>
        </w:tc>
      </w:tr>
      <w:tr w:rsidR="00186BB1" w:rsidRPr="00D513CE">
        <w:trPr>
          <w:trHeight w:val="288"/>
        </w:trPr>
        <w:tc>
          <w:tcPr>
            <w:tcW w:w="185"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lastRenderedPageBreak/>
              <w:t> </w:t>
            </w:r>
          </w:p>
        </w:tc>
        <w:tc>
          <w:tcPr>
            <w:tcW w:w="6921"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DAEB </w:t>
            </w:r>
            <w:r w:rsidRPr="00D513CE">
              <w:rPr>
                <w:rFonts w:ascii="Verdana" w:hAnsi="Calibri"/>
              </w:rPr>
              <w:t> </w:t>
            </w:r>
            <w:r w:rsidRPr="00D513CE">
              <w:rPr>
                <w:rFonts w:ascii="Verdana" w:hAnsi="Calibri"/>
              </w:rPr>
              <w:t xml:space="preserve"> </w:t>
            </w:r>
            <w:r w:rsidRPr="00D513CE">
              <w:rPr>
                <w:rFonts w:ascii="Verdana" w:hAnsi="Calibri"/>
              </w:rPr>
              <w:t> </w:t>
            </w:r>
          </w:p>
        </w:tc>
        <w:tc>
          <w:tcPr>
            <w:tcW w:w="910"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47</w:t>
            </w:r>
          </w:p>
        </w:tc>
        <w:tc>
          <w:tcPr>
            <w:tcW w:w="752"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732"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85"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737"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Aanvang voor inwerkingtreding wet  </w:t>
            </w:r>
            <w:r w:rsidRPr="00D513CE">
              <w:rPr>
                <w:rFonts w:hAnsi="Calibri"/>
                <w:color w:val="000000"/>
                <w:sz w:val="16"/>
                <w:szCs w:val="16"/>
              </w:rPr>
              <w:t> </w:t>
            </w:r>
          </w:p>
        </w:tc>
        <w:tc>
          <w:tcPr>
            <w:tcW w:w="910"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52"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69</w:t>
            </w:r>
          </w:p>
        </w:tc>
        <w:tc>
          <w:tcPr>
            <w:tcW w:w="73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5"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737"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Herstructurering  </w:t>
            </w:r>
            <w:r w:rsidRPr="00D513CE">
              <w:rPr>
                <w:rFonts w:hAnsi="Calibri"/>
                <w:color w:val="000000"/>
                <w:sz w:val="16"/>
                <w:szCs w:val="16"/>
              </w:rPr>
              <w:t> </w:t>
            </w:r>
          </w:p>
        </w:tc>
        <w:tc>
          <w:tcPr>
            <w:tcW w:w="910"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52"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69</w:t>
            </w:r>
          </w:p>
        </w:tc>
        <w:tc>
          <w:tcPr>
            <w:tcW w:w="73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5"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737"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Compensatie </w:t>
            </w:r>
            <w:proofErr w:type="spellStart"/>
            <w:r w:rsidRPr="00D513CE">
              <w:rPr>
                <w:rFonts w:hAnsi="Calibri"/>
                <w:color w:val="000000"/>
                <w:sz w:val="16"/>
                <w:szCs w:val="16"/>
              </w:rPr>
              <w:t>tbv</w:t>
            </w:r>
            <w:proofErr w:type="spellEnd"/>
            <w:r w:rsidRPr="00D513CE">
              <w:rPr>
                <w:rFonts w:hAnsi="Calibri"/>
                <w:color w:val="000000"/>
                <w:sz w:val="16"/>
                <w:szCs w:val="16"/>
              </w:rPr>
              <w:t xml:space="preserve"> DAEB werkzaamheden en overcompensatie</w:t>
            </w:r>
          </w:p>
        </w:tc>
        <w:tc>
          <w:tcPr>
            <w:tcW w:w="910"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52"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61 t/m 63</w:t>
            </w:r>
          </w:p>
        </w:tc>
        <w:tc>
          <w:tcPr>
            <w:tcW w:w="73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5"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921"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Grondslag inkomensgrens DAEB </w:t>
            </w:r>
            <w:r w:rsidRPr="00D513CE">
              <w:rPr>
                <w:rFonts w:ascii="Verdana" w:hAnsi="Calibri"/>
              </w:rPr>
              <w:t> </w:t>
            </w:r>
            <w:r w:rsidRPr="00D513CE">
              <w:rPr>
                <w:rFonts w:ascii="Verdana" w:hAnsi="Calibri"/>
              </w:rPr>
              <w:t xml:space="preserve"> </w:t>
            </w:r>
            <w:r w:rsidRPr="00D513CE">
              <w:rPr>
                <w:rFonts w:ascii="Verdana" w:hAnsi="Calibri"/>
              </w:rPr>
              <w:t> </w:t>
            </w:r>
          </w:p>
        </w:tc>
        <w:tc>
          <w:tcPr>
            <w:tcW w:w="910"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48</w:t>
            </w:r>
          </w:p>
        </w:tc>
        <w:tc>
          <w:tcPr>
            <w:tcW w:w="752"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732"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85"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376"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361"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Gegevens bij nieuwe verhuur en toewijzing</w:t>
            </w:r>
          </w:p>
        </w:tc>
        <w:tc>
          <w:tcPr>
            <w:tcW w:w="910"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52"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32" w:type="dxa"/>
            <w:tcBorders>
              <w:top w:val="single" w:sz="4" w:space="0" w:color="D8D8D8"/>
              <w:left w:val="nil"/>
              <w:bottom w:val="single" w:sz="4" w:space="0" w:color="D8D8D8"/>
              <w:right w:val="single" w:sz="4" w:space="0" w:color="000000"/>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22</w:t>
            </w:r>
          </w:p>
        </w:tc>
      </w:tr>
      <w:tr w:rsidR="00186BB1" w:rsidRPr="00D513CE">
        <w:trPr>
          <w:trHeight w:val="288"/>
        </w:trPr>
        <w:tc>
          <w:tcPr>
            <w:tcW w:w="185"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737"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Categorie</w:t>
            </w:r>
            <w:r w:rsidRPr="00D513CE">
              <w:rPr>
                <w:rFonts w:hAnsi="Calibri"/>
                <w:color w:val="000000"/>
                <w:sz w:val="16"/>
                <w:szCs w:val="16"/>
              </w:rPr>
              <w:t>ë</w:t>
            </w:r>
            <w:r w:rsidRPr="00D513CE">
              <w:rPr>
                <w:rFonts w:hAnsi="Calibri"/>
                <w:color w:val="000000"/>
                <w:sz w:val="16"/>
                <w:szCs w:val="16"/>
              </w:rPr>
              <w:t>n van personen die tot de 90% behoren</w:t>
            </w:r>
            <w:r w:rsidRPr="00D513CE">
              <w:rPr>
                <w:rFonts w:hAnsi="Calibri"/>
                <w:color w:val="000000"/>
                <w:sz w:val="16"/>
                <w:szCs w:val="16"/>
              </w:rPr>
              <w:t> </w:t>
            </w:r>
          </w:p>
        </w:tc>
        <w:tc>
          <w:tcPr>
            <w:tcW w:w="910"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52"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57</w:t>
            </w:r>
          </w:p>
        </w:tc>
        <w:tc>
          <w:tcPr>
            <w:tcW w:w="73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5"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737"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Verhuren van bezit via een rechtspersoon of vennootschap </w:t>
            </w:r>
            <w:r w:rsidRPr="00D513CE">
              <w:rPr>
                <w:rFonts w:hAnsi="Calibri"/>
                <w:color w:val="000000"/>
                <w:sz w:val="16"/>
                <w:szCs w:val="16"/>
              </w:rPr>
              <w:t> </w:t>
            </w:r>
          </w:p>
        </w:tc>
        <w:tc>
          <w:tcPr>
            <w:tcW w:w="910"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52"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58</w:t>
            </w:r>
          </w:p>
        </w:tc>
        <w:tc>
          <w:tcPr>
            <w:tcW w:w="73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5"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737"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Verhuren van andere woningen dan die verplicht aan een bepaalde doelgroep moeten worden toegewezen </w:t>
            </w:r>
            <w:r w:rsidRPr="00D513CE">
              <w:rPr>
                <w:rFonts w:hAnsi="Calibri"/>
                <w:color w:val="000000"/>
                <w:sz w:val="16"/>
                <w:szCs w:val="16"/>
              </w:rPr>
              <w:t> </w:t>
            </w:r>
          </w:p>
        </w:tc>
        <w:tc>
          <w:tcPr>
            <w:tcW w:w="910"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52"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59</w:t>
            </w:r>
          </w:p>
        </w:tc>
        <w:tc>
          <w:tcPr>
            <w:tcW w:w="73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5"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737"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Regionale verevening van de toewijzingsnorm </w:t>
            </w:r>
            <w:r w:rsidRPr="00D513CE">
              <w:rPr>
                <w:rFonts w:hAnsi="Calibri"/>
                <w:color w:val="000000"/>
                <w:sz w:val="16"/>
                <w:szCs w:val="16"/>
              </w:rPr>
              <w:t> </w:t>
            </w:r>
          </w:p>
        </w:tc>
        <w:tc>
          <w:tcPr>
            <w:tcW w:w="910"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52"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60</w:t>
            </w:r>
          </w:p>
        </w:tc>
        <w:tc>
          <w:tcPr>
            <w:tcW w:w="73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bl>
    <w:p w:rsidR="00186BB1" w:rsidRPr="00D513CE" w:rsidRDefault="00186BB1" w:rsidP="00D513CE">
      <w:pPr>
        <w:spacing w:after="160" w:line="259" w:lineRule="auto"/>
        <w:rPr>
          <w:rFonts w:hAnsi="Calibri"/>
        </w:rPr>
      </w:pPr>
    </w:p>
    <w:tbl>
      <w:tblPr>
        <w:tblW w:w="9500" w:type="dxa"/>
        <w:tblBorders>
          <w:top w:val="single" w:sz="4" w:space="0" w:color="000000"/>
          <w:left w:val="single" w:sz="4" w:space="0" w:color="000000"/>
          <w:bottom w:val="single" w:sz="4" w:space="0" w:color="000000"/>
          <w:right w:val="single" w:sz="4" w:space="0" w:color="000000"/>
          <w:insideH w:val="single" w:sz="4" w:space="0" w:color="D8D8D8"/>
        </w:tblBorders>
        <w:tblLayout w:type="fixed"/>
        <w:tblCellMar>
          <w:left w:w="70" w:type="dxa"/>
          <w:right w:w="70" w:type="dxa"/>
        </w:tblCellMar>
        <w:tblLook w:val="04A0" w:firstRow="1" w:lastRow="0" w:firstColumn="1" w:lastColumn="0" w:noHBand="0" w:noVBand="1"/>
      </w:tblPr>
      <w:tblGrid>
        <w:gridCol w:w="181"/>
        <w:gridCol w:w="181"/>
        <w:gridCol w:w="358"/>
        <w:gridCol w:w="6311"/>
        <w:gridCol w:w="1028"/>
        <w:gridCol w:w="730"/>
        <w:gridCol w:w="711"/>
      </w:tblGrid>
      <w:tr w:rsidR="00186BB1" w:rsidRPr="00D513CE">
        <w:trPr>
          <w:trHeight w:val="288"/>
        </w:trPr>
        <w:tc>
          <w:tcPr>
            <w:tcW w:w="7031" w:type="dxa"/>
            <w:gridSpan w:val="4"/>
            <w:tcBorders>
              <w:top w:val="single" w:sz="4" w:space="0" w:color="000000"/>
              <w:left w:val="single" w:sz="4" w:space="0" w:color="000000"/>
              <w:bottom w:val="single" w:sz="4" w:space="0" w:color="D8D8D8"/>
              <w:right w:val="nil"/>
            </w:tcBorders>
            <w:shd w:val="clear" w:color="000000" w:fill="A5A5A5" w:themeFill="background1" w:themeFillShade="A5"/>
            <w:vAlign w:val="center"/>
          </w:tcPr>
          <w:p w:rsidR="00186BB1" w:rsidRPr="00D513CE" w:rsidRDefault="00140307" w:rsidP="00D513CE">
            <w:pPr>
              <w:pStyle w:val="Kop1"/>
              <w:spacing w:line="276" w:lineRule="auto"/>
              <w:rPr>
                <w:rFonts w:ascii="Verdana" w:hAnsi="Calibri"/>
              </w:rPr>
            </w:pPr>
            <w:bookmarkStart w:id="14" w:name="g"/>
            <w:bookmarkStart w:id="15" w:name="_Toc422496696"/>
            <w:bookmarkEnd w:id="14"/>
            <w:r w:rsidRPr="00D513CE">
              <w:rPr>
                <w:rFonts w:ascii="Verdana" w:hAnsi="Calibri"/>
              </w:rPr>
              <w:t>Administratieve scheiding en vermogensscheiding</w:t>
            </w:r>
            <w:bookmarkEnd w:id="15"/>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p>
        </w:tc>
        <w:tc>
          <w:tcPr>
            <w:tcW w:w="1028"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Woningwet</w:t>
            </w:r>
          </w:p>
        </w:tc>
        <w:tc>
          <w:tcPr>
            <w:tcW w:w="730"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BTIV</w:t>
            </w:r>
          </w:p>
        </w:tc>
        <w:tc>
          <w:tcPr>
            <w:tcW w:w="711" w:type="dxa"/>
            <w:tcBorders>
              <w:top w:val="single" w:sz="4" w:space="0" w:color="000000"/>
              <w:left w:val="nil"/>
              <w:bottom w:val="single" w:sz="4" w:space="0" w:color="D8D8D8"/>
              <w:right w:val="single" w:sz="4" w:space="0" w:color="000000"/>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Regeling</w:t>
            </w:r>
          </w:p>
        </w:tc>
      </w:tr>
      <w:tr w:rsidR="00186BB1" w:rsidRPr="00D513CE">
        <w:trPr>
          <w:trHeight w:val="288"/>
        </w:trPr>
        <w:tc>
          <w:tcPr>
            <w:tcW w:w="181"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850"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Verplichting bij administratieve scheiding </w:t>
            </w:r>
            <w:r w:rsidRPr="00D513CE">
              <w:rPr>
                <w:rFonts w:ascii="Verdana" w:hAnsi="Calibri"/>
              </w:rPr>
              <w:t> </w:t>
            </w:r>
            <w:r w:rsidRPr="00D513CE">
              <w:rPr>
                <w:rFonts w:ascii="Verdana" w:hAnsi="Calibri"/>
              </w:rPr>
              <w:t xml:space="preserve"> </w:t>
            </w:r>
            <w:r w:rsidRPr="00D513CE">
              <w:rPr>
                <w:rFonts w:ascii="Verdana" w:hAnsi="Calibri"/>
              </w:rPr>
              <w:t> </w:t>
            </w:r>
          </w:p>
        </w:tc>
        <w:tc>
          <w:tcPr>
            <w:tcW w:w="1028"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49, 50</w:t>
            </w:r>
          </w:p>
        </w:tc>
        <w:tc>
          <w:tcPr>
            <w:tcW w:w="730"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711"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81"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1"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66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Inrichting van de administratie bij een scheiding </w:t>
            </w:r>
            <w:r w:rsidRPr="00D513CE">
              <w:rPr>
                <w:rFonts w:hAnsi="Calibri"/>
                <w:color w:val="000000"/>
                <w:sz w:val="16"/>
                <w:szCs w:val="16"/>
              </w:rPr>
              <w:t> </w:t>
            </w:r>
          </w:p>
        </w:tc>
        <w:tc>
          <w:tcPr>
            <w:tcW w:w="1028"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30"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65 t/m 72</w:t>
            </w:r>
          </w:p>
        </w:tc>
        <w:tc>
          <w:tcPr>
            <w:tcW w:w="711"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1"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1"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35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311"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Definitie van wijk of buurt bij herstructurering</w:t>
            </w:r>
          </w:p>
        </w:tc>
        <w:tc>
          <w:tcPr>
            <w:tcW w:w="1028"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30"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11" w:type="dxa"/>
            <w:tcBorders>
              <w:top w:val="single" w:sz="4" w:space="0" w:color="D8D8D8"/>
              <w:left w:val="nil"/>
              <w:bottom w:val="single" w:sz="4" w:space="0" w:color="D8D8D8"/>
              <w:right w:val="single" w:sz="4" w:space="0" w:color="000000"/>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24</w:t>
            </w:r>
          </w:p>
        </w:tc>
      </w:tr>
      <w:tr w:rsidR="00186BB1" w:rsidRPr="00D513CE">
        <w:trPr>
          <w:trHeight w:val="288"/>
        </w:trPr>
        <w:tc>
          <w:tcPr>
            <w:tcW w:w="181"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1"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66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Uitzondering vermogensscheiding </w:t>
            </w:r>
            <w:r w:rsidRPr="00D513CE">
              <w:rPr>
                <w:rFonts w:hAnsi="Calibri"/>
                <w:color w:val="000000"/>
                <w:sz w:val="16"/>
                <w:szCs w:val="16"/>
              </w:rPr>
              <w:t> </w:t>
            </w:r>
          </w:p>
        </w:tc>
        <w:tc>
          <w:tcPr>
            <w:tcW w:w="1028"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30"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64</w:t>
            </w:r>
          </w:p>
        </w:tc>
        <w:tc>
          <w:tcPr>
            <w:tcW w:w="711"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1"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1"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66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Administratieve scheiding van activiteiten </w:t>
            </w:r>
            <w:r w:rsidRPr="00D513CE">
              <w:rPr>
                <w:rFonts w:hAnsi="Calibri"/>
                <w:color w:val="000000"/>
                <w:sz w:val="16"/>
                <w:szCs w:val="16"/>
              </w:rPr>
              <w:t> </w:t>
            </w:r>
          </w:p>
        </w:tc>
        <w:tc>
          <w:tcPr>
            <w:tcW w:w="1028"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30"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73 t/m 79</w:t>
            </w:r>
          </w:p>
        </w:tc>
        <w:tc>
          <w:tcPr>
            <w:tcW w:w="711"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1"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1"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35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311"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Informatie </w:t>
            </w:r>
            <w:proofErr w:type="spellStart"/>
            <w:r w:rsidRPr="00D513CE">
              <w:rPr>
                <w:rFonts w:hAnsi="Calibri"/>
                <w:color w:val="000000"/>
                <w:sz w:val="16"/>
                <w:szCs w:val="16"/>
              </w:rPr>
              <w:t>tbv</w:t>
            </w:r>
            <w:proofErr w:type="spellEnd"/>
            <w:r w:rsidRPr="00D513CE">
              <w:rPr>
                <w:rFonts w:hAnsi="Calibri"/>
                <w:color w:val="000000"/>
                <w:sz w:val="16"/>
                <w:szCs w:val="16"/>
              </w:rPr>
              <w:t xml:space="preserve"> zienswijzen bij administratieve scheiding</w:t>
            </w:r>
          </w:p>
        </w:tc>
        <w:tc>
          <w:tcPr>
            <w:tcW w:w="1028"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30"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11" w:type="dxa"/>
            <w:tcBorders>
              <w:top w:val="single" w:sz="4" w:space="0" w:color="D8D8D8"/>
              <w:left w:val="nil"/>
              <w:bottom w:val="single" w:sz="4" w:space="0" w:color="D8D8D8"/>
              <w:right w:val="single" w:sz="4" w:space="0" w:color="000000"/>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29</w:t>
            </w:r>
          </w:p>
        </w:tc>
      </w:tr>
      <w:tr w:rsidR="00186BB1" w:rsidRPr="00D513CE">
        <w:trPr>
          <w:trHeight w:val="288"/>
        </w:trPr>
        <w:tc>
          <w:tcPr>
            <w:tcW w:w="181"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850"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Eisen aan juridische scheiding </w:t>
            </w:r>
            <w:r w:rsidRPr="00D513CE">
              <w:rPr>
                <w:rFonts w:ascii="Verdana" w:hAnsi="Calibri"/>
              </w:rPr>
              <w:t> </w:t>
            </w:r>
            <w:r w:rsidRPr="00D513CE">
              <w:rPr>
                <w:rFonts w:ascii="Verdana" w:hAnsi="Calibri"/>
              </w:rPr>
              <w:t xml:space="preserve"> </w:t>
            </w:r>
            <w:r w:rsidRPr="00D513CE">
              <w:rPr>
                <w:rFonts w:ascii="Verdana" w:hAnsi="Calibri"/>
              </w:rPr>
              <w:t> </w:t>
            </w:r>
          </w:p>
        </w:tc>
        <w:tc>
          <w:tcPr>
            <w:tcW w:w="1028"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50a, 50b, 50c</w:t>
            </w:r>
          </w:p>
        </w:tc>
        <w:tc>
          <w:tcPr>
            <w:tcW w:w="730"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711"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81"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1"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66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Verzoek om een activiteit te beschouwen als niet-DAEB</w:t>
            </w:r>
          </w:p>
        </w:tc>
        <w:tc>
          <w:tcPr>
            <w:tcW w:w="1028"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30"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80</w:t>
            </w:r>
          </w:p>
        </w:tc>
        <w:tc>
          <w:tcPr>
            <w:tcW w:w="711"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1"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1"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66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Inrichting van de administratie bij juridische splitsing </w:t>
            </w:r>
            <w:r w:rsidRPr="00D513CE">
              <w:rPr>
                <w:rFonts w:hAnsi="Calibri"/>
                <w:color w:val="000000"/>
                <w:sz w:val="16"/>
                <w:szCs w:val="16"/>
              </w:rPr>
              <w:t> </w:t>
            </w:r>
          </w:p>
        </w:tc>
        <w:tc>
          <w:tcPr>
            <w:tcW w:w="1028"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30"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81 t/m 83</w:t>
            </w:r>
          </w:p>
        </w:tc>
        <w:tc>
          <w:tcPr>
            <w:tcW w:w="711"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1"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1"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66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Juridische splitsing en goedkeuring </w:t>
            </w:r>
            <w:r w:rsidRPr="00D513CE">
              <w:rPr>
                <w:rFonts w:hAnsi="Calibri"/>
                <w:color w:val="000000"/>
                <w:sz w:val="16"/>
                <w:szCs w:val="16"/>
              </w:rPr>
              <w:t> </w:t>
            </w:r>
          </w:p>
        </w:tc>
        <w:tc>
          <w:tcPr>
            <w:tcW w:w="1028"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30"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84 t/m 85</w:t>
            </w:r>
          </w:p>
        </w:tc>
        <w:tc>
          <w:tcPr>
            <w:tcW w:w="711"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1"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1"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35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311"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Informatie </w:t>
            </w:r>
            <w:proofErr w:type="spellStart"/>
            <w:r w:rsidRPr="00D513CE">
              <w:rPr>
                <w:rFonts w:hAnsi="Calibri"/>
                <w:color w:val="000000"/>
                <w:sz w:val="16"/>
                <w:szCs w:val="16"/>
              </w:rPr>
              <w:t>tbv</w:t>
            </w:r>
            <w:proofErr w:type="spellEnd"/>
            <w:r w:rsidRPr="00D513CE">
              <w:rPr>
                <w:rFonts w:hAnsi="Calibri"/>
                <w:color w:val="000000"/>
                <w:sz w:val="16"/>
                <w:szCs w:val="16"/>
              </w:rPr>
              <w:t xml:space="preserve"> zienswijzen bij juridische splitsing</w:t>
            </w:r>
          </w:p>
        </w:tc>
        <w:tc>
          <w:tcPr>
            <w:tcW w:w="1028"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30"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11" w:type="dxa"/>
            <w:tcBorders>
              <w:top w:val="single" w:sz="4" w:space="0" w:color="D8D8D8"/>
              <w:left w:val="nil"/>
              <w:bottom w:val="single" w:sz="4" w:space="0" w:color="D8D8D8"/>
              <w:right w:val="single" w:sz="4" w:space="0" w:color="000000"/>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36</w:t>
            </w:r>
          </w:p>
        </w:tc>
      </w:tr>
      <w:tr w:rsidR="00186BB1" w:rsidRPr="00D513CE">
        <w:trPr>
          <w:trHeight w:val="288"/>
        </w:trPr>
        <w:tc>
          <w:tcPr>
            <w:tcW w:w="181"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1"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66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Verzoek om juridische splitsing</w:t>
            </w:r>
          </w:p>
        </w:tc>
        <w:tc>
          <w:tcPr>
            <w:tcW w:w="1028"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30"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86 t/m 88</w:t>
            </w:r>
          </w:p>
        </w:tc>
        <w:tc>
          <w:tcPr>
            <w:tcW w:w="711"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1"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1"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66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Overdracht te liberaliseren bezit </w:t>
            </w:r>
            <w:r w:rsidRPr="00D513CE">
              <w:rPr>
                <w:rFonts w:hAnsi="Calibri"/>
                <w:color w:val="000000"/>
                <w:sz w:val="16"/>
                <w:szCs w:val="16"/>
              </w:rPr>
              <w:t> </w:t>
            </w:r>
          </w:p>
        </w:tc>
        <w:tc>
          <w:tcPr>
            <w:tcW w:w="1028"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30"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89</w:t>
            </w:r>
          </w:p>
        </w:tc>
        <w:tc>
          <w:tcPr>
            <w:tcW w:w="711"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1"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1"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66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Voorschriften waaronder de minister kan bepalen dat de ti haar aandelen in een woningvennootschap afstoot </w:t>
            </w:r>
            <w:r w:rsidRPr="00D513CE">
              <w:rPr>
                <w:rFonts w:hAnsi="Calibri"/>
                <w:color w:val="000000"/>
                <w:sz w:val="16"/>
                <w:szCs w:val="16"/>
              </w:rPr>
              <w:t> </w:t>
            </w:r>
          </w:p>
        </w:tc>
        <w:tc>
          <w:tcPr>
            <w:tcW w:w="1028"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30"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90</w:t>
            </w:r>
          </w:p>
        </w:tc>
        <w:tc>
          <w:tcPr>
            <w:tcW w:w="711"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1" w:type="dxa"/>
            <w:tcBorders>
              <w:top w:val="single" w:sz="4" w:space="0" w:color="D8D8D8"/>
              <w:left w:val="single" w:sz="4" w:space="0" w:color="000000"/>
              <w:bottom w:val="single" w:sz="4" w:space="0" w:color="000000"/>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850" w:type="dxa"/>
            <w:gridSpan w:val="3"/>
            <w:tcBorders>
              <w:top w:val="single" w:sz="4" w:space="0" w:color="D8D8D8"/>
              <w:left w:val="nil"/>
              <w:bottom w:val="single" w:sz="4" w:space="0" w:color="000000"/>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Verplichting aanbesteding maatschappelijk vastgoed </w:t>
            </w:r>
            <w:r w:rsidRPr="00D513CE">
              <w:rPr>
                <w:rFonts w:ascii="Verdana" w:hAnsi="Calibri"/>
              </w:rPr>
              <w:t> </w:t>
            </w:r>
            <w:r w:rsidRPr="00D513CE">
              <w:rPr>
                <w:rFonts w:ascii="Verdana" w:hAnsi="Calibri"/>
              </w:rPr>
              <w:t xml:space="preserve"> </w:t>
            </w:r>
            <w:r w:rsidRPr="00D513CE">
              <w:rPr>
                <w:rFonts w:ascii="Verdana" w:hAnsi="Calibri"/>
              </w:rPr>
              <w:t> </w:t>
            </w:r>
          </w:p>
        </w:tc>
        <w:tc>
          <w:tcPr>
            <w:tcW w:w="1028" w:type="dxa"/>
            <w:tcBorders>
              <w:top w:val="single" w:sz="4" w:space="0" w:color="D8D8D8"/>
              <w:left w:val="nil"/>
              <w:bottom w:val="single" w:sz="4" w:space="0" w:color="000000"/>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51</w:t>
            </w:r>
          </w:p>
        </w:tc>
        <w:tc>
          <w:tcPr>
            <w:tcW w:w="730" w:type="dxa"/>
            <w:tcBorders>
              <w:top w:val="single" w:sz="4" w:space="0" w:color="D8D8D8"/>
              <w:left w:val="nil"/>
              <w:bottom w:val="single" w:sz="4" w:space="0" w:color="000000"/>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711" w:type="dxa"/>
            <w:tcBorders>
              <w:top w:val="single" w:sz="4" w:space="0" w:color="D8D8D8"/>
              <w:left w:val="nil"/>
              <w:bottom w:val="single" w:sz="4" w:space="0" w:color="000000"/>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bl>
    <w:p w:rsidR="00186BB1" w:rsidRPr="00D513CE" w:rsidRDefault="00186BB1" w:rsidP="00D513CE">
      <w:pPr>
        <w:spacing w:after="160" w:line="259" w:lineRule="auto"/>
        <w:rPr>
          <w:rFonts w:hAnsi="Calibri"/>
        </w:rPr>
      </w:pPr>
    </w:p>
    <w:tbl>
      <w:tblPr>
        <w:tblW w:w="9500" w:type="dxa"/>
        <w:tblBorders>
          <w:top w:val="single" w:sz="4" w:space="0" w:color="000000"/>
          <w:left w:val="single" w:sz="4" w:space="0" w:color="000000"/>
          <w:bottom w:val="single" w:sz="4" w:space="0" w:color="000000"/>
          <w:right w:val="single" w:sz="4" w:space="0" w:color="000000"/>
          <w:insideH w:val="single" w:sz="4" w:space="0" w:color="D8D8D8"/>
        </w:tblBorders>
        <w:tblLayout w:type="fixed"/>
        <w:tblCellMar>
          <w:left w:w="70" w:type="dxa"/>
          <w:right w:w="70" w:type="dxa"/>
        </w:tblCellMar>
        <w:tblLook w:val="04A0" w:firstRow="1" w:lastRow="0" w:firstColumn="1" w:lastColumn="0" w:noHBand="0" w:noVBand="1"/>
      </w:tblPr>
      <w:tblGrid>
        <w:gridCol w:w="200"/>
        <w:gridCol w:w="240"/>
        <w:gridCol w:w="430"/>
        <w:gridCol w:w="6519"/>
        <w:gridCol w:w="746"/>
        <w:gridCol w:w="743"/>
        <w:gridCol w:w="622"/>
      </w:tblGrid>
      <w:tr w:rsidR="00186BB1" w:rsidRPr="00D513CE">
        <w:trPr>
          <w:trHeight w:val="288"/>
        </w:trPr>
        <w:tc>
          <w:tcPr>
            <w:tcW w:w="7389" w:type="dxa"/>
            <w:gridSpan w:val="4"/>
            <w:tcBorders>
              <w:top w:val="single" w:sz="4" w:space="0" w:color="000000"/>
              <w:left w:val="single" w:sz="4" w:space="0" w:color="000000"/>
              <w:bottom w:val="single" w:sz="4" w:space="0" w:color="D8D8D8"/>
              <w:right w:val="nil"/>
            </w:tcBorders>
            <w:shd w:val="clear" w:color="000000" w:fill="A5A5A5" w:themeFill="background1" w:themeFillShade="A5"/>
            <w:vAlign w:val="center"/>
          </w:tcPr>
          <w:p w:rsidR="00186BB1" w:rsidRPr="00D513CE" w:rsidRDefault="00140307" w:rsidP="00D513CE">
            <w:pPr>
              <w:pStyle w:val="Kop1"/>
              <w:spacing w:line="276" w:lineRule="auto"/>
              <w:rPr>
                <w:rFonts w:ascii="Verdana" w:hAnsi="Calibri"/>
              </w:rPr>
            </w:pPr>
            <w:bookmarkStart w:id="16" w:name="h"/>
            <w:bookmarkStart w:id="17" w:name="_Toc422496697"/>
            <w:bookmarkEnd w:id="16"/>
            <w:r w:rsidRPr="00D513CE">
              <w:rPr>
                <w:rFonts w:ascii="Verdana" w:hAnsi="Calibri"/>
              </w:rPr>
              <w:lastRenderedPageBreak/>
              <w:t>Fusie, visitatie, huursom, bedrijfsvoering, financieel beheer, klachtenreglement</w:t>
            </w:r>
            <w:bookmarkEnd w:id="17"/>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p>
        </w:tc>
        <w:tc>
          <w:tcPr>
            <w:tcW w:w="746"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Woningwet</w:t>
            </w:r>
          </w:p>
        </w:tc>
        <w:tc>
          <w:tcPr>
            <w:tcW w:w="743"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BTIV</w:t>
            </w:r>
          </w:p>
        </w:tc>
        <w:tc>
          <w:tcPr>
            <w:tcW w:w="622" w:type="dxa"/>
            <w:tcBorders>
              <w:top w:val="single" w:sz="4" w:space="0" w:color="000000"/>
              <w:left w:val="nil"/>
              <w:bottom w:val="single" w:sz="4" w:space="0" w:color="D8D8D8"/>
              <w:right w:val="single" w:sz="4" w:space="0" w:color="000000"/>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Regeling</w:t>
            </w:r>
          </w:p>
        </w:tc>
      </w:tr>
      <w:tr w:rsidR="00186BB1" w:rsidRPr="00D513CE">
        <w:trPr>
          <w:trHeight w:val="288"/>
        </w:trPr>
        <w:tc>
          <w:tcPr>
            <w:tcW w:w="200"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7189"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Fusie </w:t>
            </w:r>
            <w:r w:rsidRPr="00D513CE">
              <w:rPr>
                <w:rFonts w:ascii="Verdana" w:hAnsi="Calibri"/>
              </w:rPr>
              <w:t> </w:t>
            </w:r>
            <w:r w:rsidRPr="00D513CE">
              <w:rPr>
                <w:rFonts w:ascii="Verdana" w:hAnsi="Calibri"/>
              </w:rPr>
              <w:t xml:space="preserve"> </w:t>
            </w:r>
            <w:r w:rsidRPr="00D513CE">
              <w:rPr>
                <w:rFonts w:ascii="Verdana" w:hAnsi="Calibri"/>
              </w:rPr>
              <w:t> </w:t>
            </w:r>
          </w:p>
        </w:tc>
        <w:tc>
          <w:tcPr>
            <w:tcW w:w="746"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53</w:t>
            </w:r>
          </w:p>
        </w:tc>
        <w:tc>
          <w:tcPr>
            <w:tcW w:w="743"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622"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200"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240"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94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Voorschriften omtrent een fusieverzoek </w:t>
            </w:r>
            <w:r w:rsidRPr="00D513CE">
              <w:rPr>
                <w:rFonts w:hAnsi="Calibri"/>
                <w:color w:val="000000"/>
                <w:sz w:val="16"/>
                <w:szCs w:val="16"/>
              </w:rPr>
              <w:t> </w:t>
            </w:r>
          </w:p>
        </w:tc>
        <w:tc>
          <w:tcPr>
            <w:tcW w:w="746"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43"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91 t/m 99</w:t>
            </w:r>
          </w:p>
        </w:tc>
        <w:tc>
          <w:tcPr>
            <w:tcW w:w="62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200"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240"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94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Voorschriften omtrent een </w:t>
            </w:r>
            <w:proofErr w:type="spellStart"/>
            <w:r w:rsidRPr="00D513CE">
              <w:rPr>
                <w:rFonts w:hAnsi="Calibri"/>
                <w:color w:val="000000"/>
                <w:sz w:val="16"/>
                <w:szCs w:val="16"/>
              </w:rPr>
              <w:t>splitising</w:t>
            </w:r>
            <w:proofErr w:type="spellEnd"/>
            <w:r w:rsidRPr="00D513CE">
              <w:rPr>
                <w:rFonts w:hAnsi="Calibri"/>
                <w:color w:val="000000"/>
                <w:sz w:val="16"/>
                <w:szCs w:val="16"/>
              </w:rPr>
              <w:t xml:space="preserve"> </w:t>
            </w:r>
            <w:r w:rsidRPr="00D513CE">
              <w:rPr>
                <w:rFonts w:hAnsi="Calibri"/>
                <w:color w:val="000000"/>
                <w:sz w:val="16"/>
                <w:szCs w:val="16"/>
              </w:rPr>
              <w:t> </w:t>
            </w:r>
          </w:p>
        </w:tc>
        <w:tc>
          <w:tcPr>
            <w:tcW w:w="746"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43"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100</w:t>
            </w:r>
          </w:p>
        </w:tc>
        <w:tc>
          <w:tcPr>
            <w:tcW w:w="62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200"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7189"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Visitatie </w:t>
            </w:r>
            <w:r w:rsidRPr="00D513CE">
              <w:rPr>
                <w:rFonts w:ascii="Verdana" w:hAnsi="Calibri"/>
              </w:rPr>
              <w:t> </w:t>
            </w:r>
            <w:r w:rsidRPr="00D513CE">
              <w:rPr>
                <w:rFonts w:ascii="Verdana" w:hAnsi="Calibri"/>
              </w:rPr>
              <w:t xml:space="preserve"> </w:t>
            </w:r>
            <w:r w:rsidRPr="00D513CE">
              <w:rPr>
                <w:rFonts w:ascii="Verdana" w:hAnsi="Calibri"/>
              </w:rPr>
              <w:t> </w:t>
            </w:r>
          </w:p>
        </w:tc>
        <w:tc>
          <w:tcPr>
            <w:tcW w:w="746"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53a</w:t>
            </w:r>
          </w:p>
        </w:tc>
        <w:tc>
          <w:tcPr>
            <w:tcW w:w="743"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622"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200"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7189"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Huursombeperking </w:t>
            </w:r>
            <w:r w:rsidRPr="00D513CE">
              <w:rPr>
                <w:rFonts w:ascii="Verdana" w:hAnsi="Calibri"/>
              </w:rPr>
              <w:t> </w:t>
            </w:r>
            <w:r w:rsidRPr="00D513CE">
              <w:rPr>
                <w:rFonts w:ascii="Verdana" w:hAnsi="Calibri"/>
              </w:rPr>
              <w:t xml:space="preserve"> </w:t>
            </w:r>
            <w:r w:rsidRPr="00D513CE">
              <w:rPr>
                <w:rFonts w:ascii="Verdana" w:hAnsi="Calibri"/>
              </w:rPr>
              <w:t> </w:t>
            </w:r>
          </w:p>
        </w:tc>
        <w:tc>
          <w:tcPr>
            <w:tcW w:w="746"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54</w:t>
            </w:r>
          </w:p>
        </w:tc>
        <w:tc>
          <w:tcPr>
            <w:tcW w:w="743"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622"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200"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240"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94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Percentage waarmee de gemiddelde huurprijs van voorgaand jaar wordt vermeerderd </w:t>
            </w:r>
            <w:proofErr w:type="spellStart"/>
            <w:r w:rsidRPr="00D513CE">
              <w:rPr>
                <w:rFonts w:hAnsi="Calibri"/>
                <w:color w:val="000000"/>
                <w:sz w:val="16"/>
                <w:szCs w:val="16"/>
              </w:rPr>
              <w:t>tbv</w:t>
            </w:r>
            <w:proofErr w:type="spellEnd"/>
            <w:r w:rsidRPr="00D513CE">
              <w:rPr>
                <w:rFonts w:hAnsi="Calibri"/>
                <w:color w:val="000000"/>
                <w:sz w:val="16"/>
                <w:szCs w:val="16"/>
              </w:rPr>
              <w:t xml:space="preserve"> het bepalen van de huidige gemiddelde huurprijs </w:t>
            </w:r>
            <w:r w:rsidRPr="00D513CE">
              <w:rPr>
                <w:rFonts w:hAnsi="Calibri"/>
                <w:color w:val="000000"/>
                <w:sz w:val="16"/>
                <w:szCs w:val="16"/>
              </w:rPr>
              <w:t> </w:t>
            </w:r>
          </w:p>
        </w:tc>
        <w:tc>
          <w:tcPr>
            <w:tcW w:w="746"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43"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101</w:t>
            </w:r>
          </w:p>
        </w:tc>
        <w:tc>
          <w:tcPr>
            <w:tcW w:w="62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200"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240"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430"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519"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Percentage huursom</w:t>
            </w:r>
          </w:p>
        </w:tc>
        <w:tc>
          <w:tcPr>
            <w:tcW w:w="746"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43"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622" w:type="dxa"/>
            <w:tcBorders>
              <w:top w:val="single" w:sz="4" w:space="0" w:color="D8D8D8"/>
              <w:left w:val="nil"/>
              <w:bottom w:val="single" w:sz="4" w:space="0" w:color="D8D8D8"/>
              <w:right w:val="single" w:sz="4" w:space="0" w:color="000000"/>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40</w:t>
            </w:r>
          </w:p>
        </w:tc>
      </w:tr>
      <w:tr w:rsidR="00186BB1" w:rsidRPr="00D513CE">
        <w:trPr>
          <w:trHeight w:val="288"/>
        </w:trPr>
        <w:tc>
          <w:tcPr>
            <w:tcW w:w="200"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7189"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Eisen aan bedrijfsvoering </w:t>
            </w:r>
            <w:r w:rsidRPr="00D513CE">
              <w:rPr>
                <w:rFonts w:ascii="Verdana" w:hAnsi="Calibri"/>
              </w:rPr>
              <w:t> </w:t>
            </w:r>
            <w:r w:rsidRPr="00D513CE">
              <w:rPr>
                <w:rFonts w:ascii="Verdana" w:hAnsi="Calibri"/>
              </w:rPr>
              <w:t xml:space="preserve"> </w:t>
            </w:r>
            <w:r w:rsidRPr="00D513CE">
              <w:rPr>
                <w:rFonts w:ascii="Verdana" w:hAnsi="Calibri"/>
              </w:rPr>
              <w:t> </w:t>
            </w:r>
          </w:p>
        </w:tc>
        <w:tc>
          <w:tcPr>
            <w:tcW w:w="746"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55</w:t>
            </w:r>
          </w:p>
        </w:tc>
        <w:tc>
          <w:tcPr>
            <w:tcW w:w="743"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622"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200"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240"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94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Mogelijkheid tot aanwijzen toetsingskader van Aedes </w:t>
            </w:r>
            <w:r w:rsidRPr="00D513CE">
              <w:rPr>
                <w:rFonts w:hAnsi="Calibri"/>
                <w:color w:val="000000"/>
                <w:sz w:val="16"/>
                <w:szCs w:val="16"/>
              </w:rPr>
              <w:t> </w:t>
            </w:r>
          </w:p>
        </w:tc>
        <w:tc>
          <w:tcPr>
            <w:tcW w:w="746"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43"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102</w:t>
            </w:r>
          </w:p>
        </w:tc>
        <w:tc>
          <w:tcPr>
            <w:tcW w:w="62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200"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7189"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Verplichting reglement financieel beheer </w:t>
            </w:r>
            <w:r w:rsidRPr="00D513CE">
              <w:rPr>
                <w:rFonts w:ascii="Verdana" w:hAnsi="Calibri"/>
              </w:rPr>
              <w:t> </w:t>
            </w:r>
            <w:r w:rsidRPr="00D513CE">
              <w:rPr>
                <w:rFonts w:ascii="Verdana" w:hAnsi="Calibri"/>
              </w:rPr>
              <w:t xml:space="preserve"> </w:t>
            </w:r>
            <w:r w:rsidRPr="00D513CE">
              <w:rPr>
                <w:rFonts w:ascii="Verdana" w:hAnsi="Calibri"/>
              </w:rPr>
              <w:t> </w:t>
            </w:r>
          </w:p>
        </w:tc>
        <w:tc>
          <w:tcPr>
            <w:tcW w:w="746"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55a</w:t>
            </w:r>
          </w:p>
        </w:tc>
        <w:tc>
          <w:tcPr>
            <w:tcW w:w="743"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622"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200"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240"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949" w:type="dxa"/>
            <w:gridSpan w:val="2"/>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Voorschriften omtrent de inhoud van het financi</w:t>
            </w:r>
            <w:r w:rsidRPr="00D513CE">
              <w:rPr>
                <w:rFonts w:hAnsi="Calibri"/>
                <w:color w:val="000000"/>
                <w:sz w:val="16"/>
                <w:szCs w:val="16"/>
              </w:rPr>
              <w:t>ë</w:t>
            </w:r>
            <w:r w:rsidRPr="00D513CE">
              <w:rPr>
                <w:rFonts w:hAnsi="Calibri"/>
                <w:color w:val="000000"/>
                <w:sz w:val="16"/>
                <w:szCs w:val="16"/>
              </w:rPr>
              <w:t xml:space="preserve">le reglement </w:t>
            </w:r>
            <w:r w:rsidRPr="00D513CE">
              <w:rPr>
                <w:rFonts w:hAnsi="Calibri"/>
                <w:color w:val="000000"/>
                <w:sz w:val="16"/>
                <w:szCs w:val="16"/>
              </w:rPr>
              <w:t> </w:t>
            </w:r>
          </w:p>
        </w:tc>
        <w:tc>
          <w:tcPr>
            <w:tcW w:w="746"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43"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103 t/m 108</w:t>
            </w:r>
          </w:p>
        </w:tc>
        <w:tc>
          <w:tcPr>
            <w:tcW w:w="622"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200"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240"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430"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519"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Beleggingsstatuut</w:t>
            </w:r>
          </w:p>
        </w:tc>
        <w:tc>
          <w:tcPr>
            <w:tcW w:w="746"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43"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622" w:type="dxa"/>
            <w:tcBorders>
              <w:top w:val="single" w:sz="4" w:space="0" w:color="D8D8D8"/>
              <w:left w:val="nil"/>
              <w:bottom w:val="single" w:sz="4" w:space="0" w:color="D8D8D8"/>
              <w:right w:val="single" w:sz="4" w:space="0" w:color="000000"/>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41 t/m 42</w:t>
            </w:r>
          </w:p>
        </w:tc>
      </w:tr>
      <w:tr w:rsidR="00186BB1" w:rsidRPr="00D513CE">
        <w:trPr>
          <w:trHeight w:val="288"/>
        </w:trPr>
        <w:tc>
          <w:tcPr>
            <w:tcW w:w="200"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240"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430"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519"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Modellen inzake aantrekken van derivaten</w:t>
            </w:r>
          </w:p>
        </w:tc>
        <w:tc>
          <w:tcPr>
            <w:tcW w:w="746"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743"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622" w:type="dxa"/>
            <w:tcBorders>
              <w:top w:val="single" w:sz="4" w:space="0" w:color="D8D8D8"/>
              <w:left w:val="nil"/>
              <w:bottom w:val="single" w:sz="4" w:space="0" w:color="D8D8D8"/>
              <w:right w:val="single" w:sz="4" w:space="0" w:color="000000"/>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43</w:t>
            </w:r>
          </w:p>
        </w:tc>
      </w:tr>
      <w:tr w:rsidR="00186BB1" w:rsidRPr="00D513CE">
        <w:trPr>
          <w:trHeight w:val="288"/>
        </w:trPr>
        <w:tc>
          <w:tcPr>
            <w:tcW w:w="200"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7189" w:type="dxa"/>
            <w:gridSpan w:val="3"/>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Verplichting opstellen reglement sloop/aanwijzing reglement klachten </w:t>
            </w:r>
            <w:r w:rsidRPr="00D513CE">
              <w:rPr>
                <w:rFonts w:ascii="Verdana" w:hAnsi="Calibri"/>
              </w:rPr>
              <w:t> </w:t>
            </w:r>
            <w:r w:rsidRPr="00D513CE">
              <w:rPr>
                <w:rFonts w:ascii="Verdana" w:hAnsi="Calibri"/>
              </w:rPr>
              <w:t xml:space="preserve"> </w:t>
            </w:r>
            <w:r w:rsidRPr="00D513CE">
              <w:rPr>
                <w:rFonts w:ascii="Verdana" w:hAnsi="Calibri"/>
              </w:rPr>
              <w:t> </w:t>
            </w:r>
          </w:p>
        </w:tc>
        <w:tc>
          <w:tcPr>
            <w:tcW w:w="746"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55b</w:t>
            </w:r>
          </w:p>
        </w:tc>
        <w:tc>
          <w:tcPr>
            <w:tcW w:w="743"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622"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200" w:type="dxa"/>
            <w:tcBorders>
              <w:top w:val="single" w:sz="4" w:space="0" w:color="D8D8D8"/>
              <w:left w:val="single" w:sz="4" w:space="0" w:color="000000"/>
              <w:bottom w:val="single" w:sz="4" w:space="0" w:color="000000"/>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240" w:type="dxa"/>
            <w:tcBorders>
              <w:top w:val="single" w:sz="4" w:space="0" w:color="D8D8D8"/>
              <w:left w:val="nil"/>
              <w:bottom w:val="single" w:sz="4" w:space="0" w:color="000000"/>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949" w:type="dxa"/>
            <w:gridSpan w:val="2"/>
            <w:tcBorders>
              <w:top w:val="single" w:sz="4" w:space="0" w:color="D8D8D8"/>
              <w:left w:val="nil"/>
              <w:bottom w:val="single" w:sz="4" w:space="0" w:color="000000"/>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Aangewezen reglement inzake de behandeling van klachten </w:t>
            </w:r>
            <w:r w:rsidRPr="00D513CE">
              <w:rPr>
                <w:rFonts w:hAnsi="Calibri"/>
                <w:color w:val="000000"/>
                <w:sz w:val="16"/>
                <w:szCs w:val="16"/>
              </w:rPr>
              <w:t> </w:t>
            </w:r>
          </w:p>
        </w:tc>
        <w:tc>
          <w:tcPr>
            <w:tcW w:w="746" w:type="dxa"/>
            <w:tcBorders>
              <w:top w:val="single" w:sz="4" w:space="0" w:color="D8D8D8"/>
              <w:left w:val="nil"/>
              <w:bottom w:val="single" w:sz="4" w:space="0" w:color="000000"/>
              <w:right w:val="nil"/>
            </w:tcBorders>
            <w:vAlign w:val="center"/>
          </w:tcPr>
          <w:p w:rsidR="00186BB1" w:rsidRPr="00D513CE" w:rsidRDefault="00186BB1" w:rsidP="00D513CE">
            <w:pPr>
              <w:spacing w:after="160" w:line="259" w:lineRule="auto"/>
              <w:rPr>
                <w:rFonts w:hAnsi="Calibri"/>
              </w:rPr>
            </w:pPr>
          </w:p>
        </w:tc>
        <w:tc>
          <w:tcPr>
            <w:tcW w:w="743" w:type="dxa"/>
            <w:tcBorders>
              <w:top w:val="single" w:sz="4" w:space="0" w:color="D8D8D8"/>
              <w:left w:val="nil"/>
              <w:bottom w:val="single" w:sz="4" w:space="0" w:color="000000"/>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109</w:t>
            </w:r>
          </w:p>
        </w:tc>
        <w:tc>
          <w:tcPr>
            <w:tcW w:w="622" w:type="dxa"/>
            <w:tcBorders>
              <w:top w:val="single" w:sz="4" w:space="0" w:color="D8D8D8"/>
              <w:left w:val="nil"/>
              <w:bottom w:val="single" w:sz="4" w:space="0" w:color="000000"/>
              <w:right w:val="single" w:sz="4" w:space="0" w:color="000000"/>
            </w:tcBorders>
            <w:vAlign w:val="center"/>
          </w:tcPr>
          <w:p w:rsidR="00186BB1" w:rsidRPr="00D513CE" w:rsidRDefault="00186BB1" w:rsidP="00D513CE">
            <w:pPr>
              <w:spacing w:after="160" w:line="259" w:lineRule="auto"/>
              <w:rPr>
                <w:rFonts w:hAnsi="Calibri"/>
              </w:rPr>
            </w:pPr>
          </w:p>
        </w:tc>
      </w:tr>
    </w:tbl>
    <w:p w:rsidR="00186BB1" w:rsidRPr="00D513CE" w:rsidRDefault="00186BB1" w:rsidP="00D513CE">
      <w:pPr>
        <w:spacing w:after="160" w:line="259" w:lineRule="auto"/>
        <w:rPr>
          <w:rFonts w:hAnsi="Calibri"/>
        </w:rPr>
      </w:pPr>
    </w:p>
    <w:tbl>
      <w:tblPr>
        <w:tblW w:w="9500" w:type="dxa"/>
        <w:tblBorders>
          <w:top w:val="single" w:sz="4" w:space="0" w:color="000000"/>
          <w:left w:val="single" w:sz="4" w:space="0" w:color="000000"/>
          <w:bottom w:val="single" w:sz="4" w:space="0" w:color="000000"/>
          <w:right w:val="single" w:sz="4" w:space="0" w:color="000000"/>
          <w:insideH w:val="single" w:sz="4" w:space="0" w:color="D8D8D8"/>
        </w:tblBorders>
        <w:tblLayout w:type="fixed"/>
        <w:tblCellMar>
          <w:left w:w="70" w:type="dxa"/>
          <w:right w:w="70" w:type="dxa"/>
        </w:tblCellMar>
        <w:tblLook w:val="04A0" w:firstRow="1" w:lastRow="0" w:firstColumn="1" w:lastColumn="0" w:noHBand="0" w:noVBand="1"/>
      </w:tblPr>
      <w:tblGrid>
        <w:gridCol w:w="197"/>
        <w:gridCol w:w="197"/>
        <w:gridCol w:w="5865"/>
        <w:gridCol w:w="1161"/>
        <w:gridCol w:w="1155"/>
        <w:gridCol w:w="925"/>
      </w:tblGrid>
      <w:tr w:rsidR="00186BB1" w:rsidRPr="00D513CE">
        <w:trPr>
          <w:trHeight w:val="288"/>
        </w:trPr>
        <w:tc>
          <w:tcPr>
            <w:tcW w:w="6259" w:type="dxa"/>
            <w:gridSpan w:val="3"/>
            <w:tcBorders>
              <w:top w:val="single" w:sz="4" w:space="0" w:color="000000"/>
              <w:left w:val="single" w:sz="4" w:space="0" w:color="000000"/>
              <w:bottom w:val="single" w:sz="4" w:space="0" w:color="D8D8D8"/>
              <w:right w:val="nil"/>
            </w:tcBorders>
            <w:shd w:val="clear" w:color="000000" w:fill="A5A5A5" w:themeFill="background1" w:themeFillShade="A5"/>
            <w:vAlign w:val="center"/>
          </w:tcPr>
          <w:p w:rsidR="00186BB1" w:rsidRPr="00D513CE" w:rsidRDefault="00140307" w:rsidP="00D513CE">
            <w:pPr>
              <w:pStyle w:val="Kop1"/>
              <w:spacing w:line="276" w:lineRule="auto"/>
              <w:rPr>
                <w:rFonts w:ascii="Verdana" w:hAnsi="Calibri"/>
              </w:rPr>
            </w:pPr>
            <w:bookmarkStart w:id="18" w:name="i"/>
            <w:bookmarkStart w:id="19" w:name="_Toc422496698"/>
            <w:bookmarkEnd w:id="18"/>
            <w:r w:rsidRPr="00D513CE">
              <w:rPr>
                <w:rFonts w:ascii="Verdana" w:hAnsi="Calibri"/>
              </w:rPr>
              <w:t>Sanering en projectsteun</w:t>
            </w:r>
            <w:bookmarkEnd w:id="19"/>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p>
        </w:tc>
        <w:tc>
          <w:tcPr>
            <w:tcW w:w="1161"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Woningwet</w:t>
            </w:r>
          </w:p>
        </w:tc>
        <w:tc>
          <w:tcPr>
            <w:tcW w:w="1155"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BTIV</w:t>
            </w:r>
          </w:p>
        </w:tc>
        <w:tc>
          <w:tcPr>
            <w:tcW w:w="925" w:type="dxa"/>
            <w:tcBorders>
              <w:top w:val="single" w:sz="4" w:space="0" w:color="000000"/>
              <w:left w:val="nil"/>
              <w:bottom w:val="single" w:sz="4" w:space="0" w:color="D8D8D8"/>
              <w:right w:val="single" w:sz="4" w:space="0" w:color="000000"/>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Regeling</w:t>
            </w:r>
          </w:p>
        </w:tc>
      </w:tr>
      <w:tr w:rsidR="00186BB1" w:rsidRPr="00D513CE">
        <w:trPr>
          <w:trHeight w:val="288"/>
        </w:trPr>
        <w:tc>
          <w:tcPr>
            <w:tcW w:w="197"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062" w:type="dxa"/>
            <w:gridSpan w:val="2"/>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Eisen aan sanerings-/ en projectsteun </w:t>
            </w:r>
            <w:r w:rsidRPr="00D513CE">
              <w:rPr>
                <w:rFonts w:ascii="Verdana" w:hAnsi="Calibri"/>
              </w:rPr>
              <w:t> </w:t>
            </w:r>
            <w:r w:rsidRPr="00D513CE">
              <w:rPr>
                <w:rFonts w:ascii="Verdana" w:hAnsi="Calibri"/>
              </w:rPr>
              <w:t xml:space="preserve"> </w:t>
            </w:r>
            <w:r w:rsidRPr="00D513CE">
              <w:rPr>
                <w:rFonts w:ascii="Verdana" w:hAnsi="Calibri"/>
              </w:rPr>
              <w:t> </w:t>
            </w:r>
          </w:p>
        </w:tc>
        <w:tc>
          <w:tcPr>
            <w:tcW w:w="116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57</w:t>
            </w:r>
          </w:p>
        </w:tc>
        <w:tc>
          <w:tcPr>
            <w:tcW w:w="1155"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925"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97"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97"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865"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Voorschriften aan subsidies ter behoeve van financi</w:t>
            </w:r>
            <w:r w:rsidRPr="00D513CE">
              <w:rPr>
                <w:rFonts w:hAnsi="Calibri"/>
                <w:color w:val="000000"/>
                <w:sz w:val="16"/>
                <w:szCs w:val="16"/>
              </w:rPr>
              <w:t>ë</w:t>
            </w:r>
            <w:r w:rsidRPr="00D513CE">
              <w:rPr>
                <w:rFonts w:hAnsi="Calibri"/>
                <w:color w:val="000000"/>
                <w:sz w:val="16"/>
                <w:szCs w:val="16"/>
              </w:rPr>
              <w:t xml:space="preserve">le sanering </w:t>
            </w:r>
            <w:r w:rsidRPr="00D513CE">
              <w:rPr>
                <w:rFonts w:hAnsi="Calibri"/>
                <w:color w:val="000000"/>
                <w:sz w:val="16"/>
                <w:szCs w:val="16"/>
              </w:rPr>
              <w:t> </w:t>
            </w:r>
          </w:p>
        </w:tc>
        <w:tc>
          <w:tcPr>
            <w:tcW w:w="116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155"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111 t/m 114</w:t>
            </w:r>
          </w:p>
        </w:tc>
        <w:tc>
          <w:tcPr>
            <w:tcW w:w="925"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97"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97"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865"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Voorschriften voor de hoogte van de bijdragen van elke ti </w:t>
            </w:r>
            <w:r w:rsidRPr="00D513CE">
              <w:rPr>
                <w:rFonts w:hAnsi="Calibri"/>
                <w:color w:val="000000"/>
                <w:sz w:val="16"/>
                <w:szCs w:val="16"/>
              </w:rPr>
              <w:t> </w:t>
            </w:r>
          </w:p>
        </w:tc>
        <w:tc>
          <w:tcPr>
            <w:tcW w:w="1161"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1155"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115 t/m 118</w:t>
            </w:r>
          </w:p>
        </w:tc>
        <w:tc>
          <w:tcPr>
            <w:tcW w:w="925"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97"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062" w:type="dxa"/>
            <w:gridSpan w:val="2"/>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Mandatering saneringstaak </w:t>
            </w:r>
            <w:r w:rsidRPr="00D513CE">
              <w:rPr>
                <w:rFonts w:ascii="Verdana" w:hAnsi="Calibri"/>
              </w:rPr>
              <w:t> </w:t>
            </w:r>
            <w:r w:rsidRPr="00D513CE">
              <w:rPr>
                <w:rFonts w:ascii="Verdana" w:hAnsi="Calibri"/>
              </w:rPr>
              <w:t xml:space="preserve"> </w:t>
            </w:r>
            <w:r w:rsidRPr="00D513CE">
              <w:rPr>
                <w:rFonts w:ascii="Verdana" w:hAnsi="Calibri"/>
              </w:rPr>
              <w:t> </w:t>
            </w:r>
          </w:p>
        </w:tc>
        <w:tc>
          <w:tcPr>
            <w:tcW w:w="1161"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57 lid 2</w:t>
            </w:r>
          </w:p>
        </w:tc>
        <w:tc>
          <w:tcPr>
            <w:tcW w:w="1155"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925"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97" w:type="dxa"/>
            <w:tcBorders>
              <w:top w:val="single" w:sz="4" w:space="0" w:color="D8D8D8"/>
              <w:left w:val="single" w:sz="4" w:space="0" w:color="000000"/>
              <w:bottom w:val="single" w:sz="4" w:space="0" w:color="000000"/>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97" w:type="dxa"/>
            <w:tcBorders>
              <w:top w:val="single" w:sz="4" w:space="0" w:color="D8D8D8"/>
              <w:left w:val="nil"/>
              <w:bottom w:val="single" w:sz="4" w:space="0" w:color="000000"/>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5865" w:type="dxa"/>
            <w:tcBorders>
              <w:top w:val="single" w:sz="4" w:space="0" w:color="D8D8D8"/>
              <w:left w:val="nil"/>
              <w:bottom w:val="single" w:sz="4" w:space="0" w:color="000000"/>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Toepasselijkheid bij mandaat aan borgingsvoorziening </w:t>
            </w:r>
            <w:r w:rsidRPr="00D513CE">
              <w:rPr>
                <w:rFonts w:hAnsi="Calibri"/>
                <w:color w:val="000000"/>
                <w:sz w:val="16"/>
                <w:szCs w:val="16"/>
              </w:rPr>
              <w:t> </w:t>
            </w:r>
          </w:p>
        </w:tc>
        <w:tc>
          <w:tcPr>
            <w:tcW w:w="1161" w:type="dxa"/>
            <w:tcBorders>
              <w:top w:val="single" w:sz="4" w:space="0" w:color="D8D8D8"/>
              <w:left w:val="nil"/>
              <w:bottom w:val="single" w:sz="4" w:space="0" w:color="000000"/>
              <w:right w:val="nil"/>
            </w:tcBorders>
            <w:vAlign w:val="center"/>
          </w:tcPr>
          <w:p w:rsidR="00186BB1" w:rsidRPr="00D513CE" w:rsidRDefault="00186BB1" w:rsidP="00D513CE">
            <w:pPr>
              <w:spacing w:after="160" w:line="259" w:lineRule="auto"/>
              <w:rPr>
                <w:rFonts w:hAnsi="Calibri"/>
              </w:rPr>
            </w:pPr>
          </w:p>
        </w:tc>
        <w:tc>
          <w:tcPr>
            <w:tcW w:w="1155" w:type="dxa"/>
            <w:tcBorders>
              <w:top w:val="single" w:sz="4" w:space="0" w:color="D8D8D8"/>
              <w:left w:val="nil"/>
              <w:bottom w:val="single" w:sz="4" w:space="0" w:color="000000"/>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119</w:t>
            </w:r>
          </w:p>
        </w:tc>
        <w:tc>
          <w:tcPr>
            <w:tcW w:w="925" w:type="dxa"/>
            <w:tcBorders>
              <w:top w:val="single" w:sz="4" w:space="0" w:color="D8D8D8"/>
              <w:left w:val="nil"/>
              <w:bottom w:val="single" w:sz="4" w:space="0" w:color="000000"/>
              <w:right w:val="single" w:sz="4" w:space="0" w:color="000000"/>
            </w:tcBorders>
            <w:vAlign w:val="center"/>
          </w:tcPr>
          <w:p w:rsidR="00186BB1" w:rsidRPr="00D513CE" w:rsidRDefault="00186BB1" w:rsidP="00D513CE">
            <w:pPr>
              <w:spacing w:after="160" w:line="259" w:lineRule="auto"/>
              <w:rPr>
                <w:rFonts w:hAnsi="Calibri"/>
              </w:rPr>
            </w:pPr>
          </w:p>
        </w:tc>
      </w:tr>
    </w:tbl>
    <w:p w:rsidR="00186BB1" w:rsidRPr="00D513CE" w:rsidRDefault="00186BB1" w:rsidP="00D513CE">
      <w:pPr>
        <w:spacing w:after="160" w:line="259" w:lineRule="auto"/>
        <w:rPr>
          <w:rFonts w:hAnsi="Calibri"/>
        </w:rPr>
      </w:pPr>
    </w:p>
    <w:tbl>
      <w:tblPr>
        <w:tblW w:w="9500" w:type="dxa"/>
        <w:tblBorders>
          <w:top w:val="single" w:sz="4" w:space="0" w:color="000000"/>
          <w:left w:val="single" w:sz="4" w:space="0" w:color="000000"/>
          <w:bottom w:val="single" w:sz="4" w:space="0" w:color="000000"/>
          <w:right w:val="single" w:sz="4" w:space="0" w:color="000000"/>
          <w:insideH w:val="single" w:sz="4" w:space="0" w:color="D8D8D8"/>
        </w:tblBorders>
        <w:tblLayout w:type="fixed"/>
        <w:tblCellMar>
          <w:left w:w="70" w:type="dxa"/>
          <w:right w:w="70" w:type="dxa"/>
        </w:tblCellMar>
        <w:tblLook w:val="04A0" w:firstRow="1" w:lastRow="0" w:firstColumn="1" w:lastColumn="0" w:noHBand="0" w:noVBand="1"/>
      </w:tblPr>
      <w:tblGrid>
        <w:gridCol w:w="189"/>
        <w:gridCol w:w="188"/>
        <w:gridCol w:w="6794"/>
        <w:gridCol w:w="1007"/>
        <w:gridCol w:w="515"/>
        <w:gridCol w:w="807"/>
      </w:tblGrid>
      <w:tr w:rsidR="00186BB1" w:rsidRPr="00D513CE">
        <w:trPr>
          <w:trHeight w:val="288"/>
        </w:trPr>
        <w:tc>
          <w:tcPr>
            <w:tcW w:w="7171" w:type="dxa"/>
            <w:gridSpan w:val="3"/>
            <w:tcBorders>
              <w:top w:val="single" w:sz="4" w:space="0" w:color="000000"/>
              <w:left w:val="single" w:sz="4" w:space="0" w:color="000000"/>
              <w:bottom w:val="single" w:sz="4" w:space="0" w:color="D8D8D8"/>
              <w:right w:val="nil"/>
            </w:tcBorders>
            <w:shd w:val="clear" w:color="000000" w:fill="A5A5A5" w:themeFill="background1" w:themeFillShade="A5"/>
            <w:vAlign w:val="center"/>
          </w:tcPr>
          <w:p w:rsidR="00186BB1" w:rsidRPr="00D513CE" w:rsidRDefault="00140307" w:rsidP="00D513CE">
            <w:pPr>
              <w:pStyle w:val="Kop1"/>
              <w:spacing w:line="276" w:lineRule="auto"/>
              <w:rPr>
                <w:rFonts w:ascii="Verdana" w:hAnsi="Calibri"/>
              </w:rPr>
            </w:pPr>
            <w:bookmarkStart w:id="20" w:name="j"/>
            <w:bookmarkStart w:id="21" w:name="_Toc422496699"/>
            <w:bookmarkEnd w:id="20"/>
            <w:r w:rsidRPr="00D513CE">
              <w:rPr>
                <w:rFonts w:ascii="Verdana" w:hAnsi="Calibri"/>
              </w:rPr>
              <w:t>Toezicht en bewind</w:t>
            </w:r>
            <w:bookmarkEnd w:id="21"/>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p>
        </w:tc>
        <w:tc>
          <w:tcPr>
            <w:tcW w:w="1007"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Woningwet</w:t>
            </w:r>
          </w:p>
        </w:tc>
        <w:tc>
          <w:tcPr>
            <w:tcW w:w="515"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BTIV</w:t>
            </w:r>
          </w:p>
        </w:tc>
        <w:tc>
          <w:tcPr>
            <w:tcW w:w="807" w:type="dxa"/>
            <w:tcBorders>
              <w:top w:val="single" w:sz="4" w:space="0" w:color="000000"/>
              <w:left w:val="nil"/>
              <w:bottom w:val="single" w:sz="4" w:space="0" w:color="D8D8D8"/>
              <w:right w:val="single" w:sz="4" w:space="0" w:color="000000"/>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Regeling</w:t>
            </w:r>
          </w:p>
        </w:tc>
      </w:tr>
      <w:tr w:rsidR="00186BB1" w:rsidRPr="00D513CE">
        <w:trPr>
          <w:trHeight w:val="288"/>
        </w:trPr>
        <w:tc>
          <w:tcPr>
            <w:tcW w:w="189"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982" w:type="dxa"/>
            <w:gridSpan w:val="2"/>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Toezicht door de minister </w:t>
            </w:r>
            <w:r w:rsidRPr="00D513CE">
              <w:rPr>
                <w:rFonts w:ascii="Verdana" w:hAnsi="Calibri"/>
              </w:rPr>
              <w:t> </w:t>
            </w:r>
            <w:r w:rsidRPr="00D513CE">
              <w:rPr>
                <w:rFonts w:ascii="Verdana" w:hAnsi="Calibri"/>
              </w:rPr>
              <w:t xml:space="preserve"> </w:t>
            </w:r>
            <w:r w:rsidRPr="00D513CE">
              <w:rPr>
                <w:rFonts w:ascii="Verdana" w:hAnsi="Calibri"/>
              </w:rPr>
              <w:t> </w:t>
            </w:r>
          </w:p>
        </w:tc>
        <w:tc>
          <w:tcPr>
            <w:tcW w:w="1007"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61c</w:t>
            </w:r>
          </w:p>
        </w:tc>
        <w:tc>
          <w:tcPr>
            <w:tcW w:w="515"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807"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79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Toetsing toepassing Wet normering topinkomens </w:t>
            </w:r>
            <w:r w:rsidRPr="00D513CE">
              <w:rPr>
                <w:rFonts w:hAnsi="Calibri"/>
                <w:color w:val="000000"/>
                <w:sz w:val="16"/>
                <w:szCs w:val="16"/>
              </w:rPr>
              <w:t> </w:t>
            </w:r>
          </w:p>
        </w:tc>
        <w:tc>
          <w:tcPr>
            <w:tcW w:w="1007"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515"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120</w:t>
            </w:r>
          </w:p>
        </w:tc>
        <w:tc>
          <w:tcPr>
            <w:tcW w:w="807"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79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Voorschriften inzake de bekostiging van de uitvoering van het toezicht </w:t>
            </w:r>
            <w:r w:rsidRPr="00D513CE">
              <w:rPr>
                <w:rFonts w:hAnsi="Calibri"/>
                <w:color w:val="000000"/>
                <w:sz w:val="16"/>
                <w:szCs w:val="16"/>
              </w:rPr>
              <w:t> </w:t>
            </w:r>
          </w:p>
        </w:tc>
        <w:tc>
          <w:tcPr>
            <w:tcW w:w="1007"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515"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121</w:t>
            </w:r>
          </w:p>
        </w:tc>
        <w:tc>
          <w:tcPr>
            <w:tcW w:w="807"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79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Onderwerpen en taken die aan de autoriteit kunnen worden opgedragen </w:t>
            </w:r>
            <w:r w:rsidRPr="00D513CE">
              <w:rPr>
                <w:rFonts w:hAnsi="Calibri"/>
                <w:color w:val="000000"/>
                <w:sz w:val="16"/>
                <w:szCs w:val="16"/>
              </w:rPr>
              <w:t> </w:t>
            </w:r>
          </w:p>
        </w:tc>
        <w:tc>
          <w:tcPr>
            <w:tcW w:w="1007"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515"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123</w:t>
            </w:r>
          </w:p>
        </w:tc>
        <w:tc>
          <w:tcPr>
            <w:tcW w:w="807"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lastRenderedPageBreak/>
              <w:t> </w:t>
            </w:r>
          </w:p>
        </w:tc>
        <w:tc>
          <w:tcPr>
            <w:tcW w:w="6982" w:type="dxa"/>
            <w:gridSpan w:val="2"/>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Mogelijke sancties </w:t>
            </w:r>
            <w:r w:rsidRPr="00D513CE">
              <w:rPr>
                <w:rFonts w:ascii="Verdana" w:hAnsi="Calibri"/>
              </w:rPr>
              <w:t> </w:t>
            </w:r>
            <w:r w:rsidRPr="00D513CE">
              <w:rPr>
                <w:rFonts w:ascii="Verdana" w:hAnsi="Calibri"/>
              </w:rPr>
              <w:t xml:space="preserve"> </w:t>
            </w:r>
            <w:r w:rsidRPr="00D513CE">
              <w:rPr>
                <w:rFonts w:ascii="Verdana" w:hAnsi="Calibri"/>
              </w:rPr>
              <w:t> </w:t>
            </w:r>
          </w:p>
        </w:tc>
        <w:tc>
          <w:tcPr>
            <w:tcW w:w="1007"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61d</w:t>
            </w:r>
          </w:p>
        </w:tc>
        <w:tc>
          <w:tcPr>
            <w:tcW w:w="515"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807"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8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794"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Gevallen waarin de minister het bestuur en rvt op de hoogte stelt van </w:t>
            </w:r>
            <w:proofErr w:type="spellStart"/>
            <w:r w:rsidRPr="00D513CE">
              <w:rPr>
                <w:rFonts w:hAnsi="Calibri"/>
                <w:color w:val="000000"/>
                <w:sz w:val="16"/>
                <w:szCs w:val="16"/>
              </w:rPr>
              <w:t>toezichtswerkzaamheden</w:t>
            </w:r>
            <w:proofErr w:type="spellEnd"/>
            <w:r w:rsidRPr="00D513CE">
              <w:rPr>
                <w:rFonts w:hAnsi="Calibri"/>
                <w:color w:val="000000"/>
                <w:sz w:val="16"/>
                <w:szCs w:val="16"/>
              </w:rPr>
              <w:t xml:space="preserve"> </w:t>
            </w:r>
            <w:r w:rsidRPr="00D513CE">
              <w:rPr>
                <w:rFonts w:hAnsi="Calibri"/>
                <w:color w:val="000000"/>
                <w:sz w:val="16"/>
                <w:szCs w:val="16"/>
              </w:rPr>
              <w:t> </w:t>
            </w:r>
          </w:p>
        </w:tc>
        <w:tc>
          <w:tcPr>
            <w:tcW w:w="1007"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515"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122</w:t>
            </w:r>
          </w:p>
        </w:tc>
        <w:tc>
          <w:tcPr>
            <w:tcW w:w="807"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189" w:type="dxa"/>
            <w:tcBorders>
              <w:top w:val="single" w:sz="4" w:space="0" w:color="D8D8D8"/>
              <w:left w:val="single" w:sz="4" w:space="0" w:color="000000"/>
              <w:bottom w:val="single" w:sz="4" w:space="0" w:color="000000"/>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w:t>
            </w:r>
          </w:p>
        </w:tc>
        <w:tc>
          <w:tcPr>
            <w:tcW w:w="6982" w:type="dxa"/>
            <w:gridSpan w:val="2"/>
            <w:tcBorders>
              <w:top w:val="single" w:sz="4" w:space="0" w:color="D8D8D8"/>
              <w:left w:val="nil"/>
              <w:bottom w:val="single" w:sz="4" w:space="0" w:color="000000"/>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Bevoegdheden Algemene Rekenkamer </w:t>
            </w:r>
            <w:r w:rsidRPr="00D513CE">
              <w:rPr>
                <w:rFonts w:ascii="Verdana" w:hAnsi="Calibri"/>
              </w:rPr>
              <w:t> </w:t>
            </w:r>
            <w:r w:rsidRPr="00D513CE">
              <w:rPr>
                <w:rFonts w:ascii="Verdana" w:hAnsi="Calibri"/>
              </w:rPr>
              <w:t xml:space="preserve"> </w:t>
            </w:r>
            <w:r w:rsidRPr="00D513CE">
              <w:rPr>
                <w:rFonts w:ascii="Verdana" w:hAnsi="Calibri"/>
              </w:rPr>
              <w:t> </w:t>
            </w:r>
          </w:p>
        </w:tc>
        <w:tc>
          <w:tcPr>
            <w:tcW w:w="1007" w:type="dxa"/>
            <w:tcBorders>
              <w:top w:val="single" w:sz="4" w:space="0" w:color="D8D8D8"/>
              <w:left w:val="nil"/>
              <w:bottom w:val="single" w:sz="4" w:space="0" w:color="000000"/>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61la</w:t>
            </w:r>
          </w:p>
        </w:tc>
        <w:tc>
          <w:tcPr>
            <w:tcW w:w="515" w:type="dxa"/>
            <w:tcBorders>
              <w:top w:val="single" w:sz="4" w:space="0" w:color="D8D8D8"/>
              <w:left w:val="nil"/>
              <w:bottom w:val="single" w:sz="4" w:space="0" w:color="000000"/>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807" w:type="dxa"/>
            <w:tcBorders>
              <w:top w:val="single" w:sz="4" w:space="0" w:color="D8D8D8"/>
              <w:left w:val="nil"/>
              <w:bottom w:val="single" w:sz="4" w:space="0" w:color="000000"/>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bl>
    <w:p w:rsidR="00186BB1" w:rsidRPr="00D513CE" w:rsidRDefault="00186BB1" w:rsidP="00D513CE">
      <w:pPr>
        <w:spacing w:after="160" w:line="259" w:lineRule="auto"/>
        <w:rPr>
          <w:rFonts w:hAnsi="Calibri"/>
        </w:rPr>
      </w:pPr>
    </w:p>
    <w:tbl>
      <w:tblPr>
        <w:tblW w:w="9500" w:type="dxa"/>
        <w:tblBorders>
          <w:top w:val="single" w:sz="4" w:space="0" w:color="000000"/>
          <w:left w:val="single" w:sz="4" w:space="0" w:color="000000"/>
          <w:bottom w:val="single" w:sz="4" w:space="0" w:color="000000"/>
          <w:right w:val="single" w:sz="4" w:space="0" w:color="000000"/>
          <w:insideH w:val="single" w:sz="4" w:space="0" w:color="D8D8D8"/>
        </w:tblBorders>
        <w:tblLayout w:type="fixed"/>
        <w:tblCellMar>
          <w:left w:w="70" w:type="dxa"/>
          <w:right w:w="70" w:type="dxa"/>
        </w:tblCellMar>
        <w:tblLook w:val="04A0" w:firstRow="1" w:lastRow="0" w:firstColumn="1" w:lastColumn="0" w:noHBand="0" w:noVBand="1"/>
      </w:tblPr>
      <w:tblGrid>
        <w:gridCol w:w="177"/>
        <w:gridCol w:w="178"/>
        <w:gridCol w:w="6863"/>
        <w:gridCol w:w="814"/>
        <w:gridCol w:w="810"/>
        <w:gridCol w:w="658"/>
      </w:tblGrid>
      <w:tr w:rsidR="00186BB1" w:rsidRPr="00D513CE">
        <w:trPr>
          <w:trHeight w:val="288"/>
        </w:trPr>
        <w:tc>
          <w:tcPr>
            <w:tcW w:w="7218" w:type="dxa"/>
            <w:gridSpan w:val="3"/>
            <w:tcBorders>
              <w:top w:val="single" w:sz="4" w:space="0" w:color="000000"/>
              <w:left w:val="single" w:sz="4" w:space="0" w:color="000000"/>
              <w:bottom w:val="single" w:sz="4" w:space="0" w:color="D8D8D8"/>
              <w:right w:val="nil"/>
            </w:tcBorders>
            <w:shd w:val="clear" w:color="000000" w:fill="A5A5A5" w:themeFill="background1" w:themeFillShade="A5"/>
            <w:vAlign w:val="center"/>
          </w:tcPr>
          <w:p w:rsidR="00186BB1" w:rsidRPr="00D513CE" w:rsidRDefault="00140307" w:rsidP="00D513CE">
            <w:pPr>
              <w:pStyle w:val="Kop1"/>
              <w:spacing w:line="276" w:lineRule="auto"/>
              <w:rPr>
                <w:rFonts w:ascii="Verdana" w:hAnsi="Calibri"/>
              </w:rPr>
            </w:pPr>
            <w:bookmarkStart w:id="22" w:name="k"/>
            <w:bookmarkStart w:id="23" w:name="_Toc422496700"/>
            <w:bookmarkEnd w:id="22"/>
            <w:r w:rsidRPr="00D513CE">
              <w:rPr>
                <w:rFonts w:ascii="Verdana" w:hAnsi="Calibri"/>
              </w:rPr>
              <w:t>Overig</w:t>
            </w:r>
            <w:bookmarkEnd w:id="23"/>
          </w:p>
        </w:tc>
        <w:tc>
          <w:tcPr>
            <w:tcW w:w="814"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Woningwet</w:t>
            </w:r>
          </w:p>
        </w:tc>
        <w:tc>
          <w:tcPr>
            <w:tcW w:w="810" w:type="dxa"/>
            <w:tcBorders>
              <w:top w:val="single" w:sz="4" w:space="0" w:color="000000"/>
              <w:left w:val="nil"/>
              <w:bottom w:val="single" w:sz="4" w:space="0" w:color="D8D8D8"/>
              <w:right w:val="nil"/>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BTIV</w:t>
            </w:r>
          </w:p>
        </w:tc>
        <w:tc>
          <w:tcPr>
            <w:tcW w:w="658" w:type="dxa"/>
            <w:tcBorders>
              <w:top w:val="single" w:sz="4" w:space="0" w:color="000000"/>
              <w:left w:val="nil"/>
              <w:bottom w:val="single" w:sz="4" w:space="0" w:color="D8D8D8"/>
              <w:right w:val="single" w:sz="4" w:space="0" w:color="000000"/>
            </w:tcBorders>
            <w:shd w:val="clear" w:color="000000" w:fill="A5A5A5" w:themeFill="background1" w:themeFillShade="A5"/>
            <w:vAlign w:val="center"/>
          </w:tcPr>
          <w:p w:rsidR="00186BB1" w:rsidRPr="00D513CE" w:rsidRDefault="00140307" w:rsidP="00D513CE">
            <w:pPr>
              <w:pStyle w:val="Kop3"/>
              <w:spacing w:line="276" w:lineRule="auto"/>
              <w:rPr>
                <w:rFonts w:ascii="Verdana" w:hAnsi="Calibri"/>
              </w:rPr>
            </w:pPr>
            <w:r w:rsidRPr="00D513CE">
              <w:rPr>
                <w:rFonts w:ascii="Verdana" w:hAnsi="Calibri"/>
              </w:rPr>
              <w:t>Regeling</w:t>
            </w:r>
          </w:p>
        </w:tc>
      </w:tr>
      <w:tr w:rsidR="00186BB1" w:rsidRPr="00D513CE">
        <w:trPr>
          <w:trHeight w:val="288"/>
        </w:trPr>
        <w:tc>
          <w:tcPr>
            <w:tcW w:w="7218" w:type="dxa"/>
            <w:gridSpan w:val="3"/>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Mogelijkheid algemeen verbindend verklaren overeenkomsten sector </w:t>
            </w:r>
            <w:r w:rsidRPr="00D513CE">
              <w:rPr>
                <w:rFonts w:ascii="Verdana" w:hAnsi="Calibri"/>
              </w:rPr>
              <w:t> </w:t>
            </w:r>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p>
        </w:tc>
        <w:tc>
          <w:tcPr>
            <w:tcW w:w="814"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61m</w:t>
            </w:r>
          </w:p>
        </w:tc>
        <w:tc>
          <w:tcPr>
            <w:tcW w:w="810"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658"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77" w:type="dxa"/>
            <w:tcBorders>
              <w:top w:val="single" w:sz="4" w:space="0" w:color="D8D8D8"/>
              <w:left w:val="single" w:sz="4" w:space="0" w:color="000000"/>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178"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w:t>
            </w:r>
          </w:p>
        </w:tc>
        <w:tc>
          <w:tcPr>
            <w:tcW w:w="6863" w:type="dxa"/>
            <w:tcBorders>
              <w:top w:val="single" w:sz="4" w:space="0" w:color="D8D8D8"/>
              <w:left w:val="nil"/>
              <w:bottom w:val="single" w:sz="4" w:space="0" w:color="D8D8D8"/>
              <w:right w:val="nil"/>
            </w:tcBorders>
            <w:vAlign w:val="center"/>
          </w:tcPr>
          <w:p w:rsidR="00186BB1" w:rsidRPr="00D513CE" w:rsidRDefault="00140307" w:rsidP="00D513CE">
            <w:pPr>
              <w:spacing w:after="160"/>
              <w:rPr>
                <w:rFonts w:hAnsi="Calibri"/>
                <w:color w:val="000000"/>
                <w:sz w:val="16"/>
                <w:szCs w:val="16"/>
              </w:rPr>
            </w:pPr>
            <w:r w:rsidRPr="00D513CE">
              <w:rPr>
                <w:rFonts w:hAnsi="Calibri"/>
                <w:color w:val="000000"/>
                <w:sz w:val="16"/>
                <w:szCs w:val="16"/>
              </w:rPr>
              <w:t xml:space="preserve">Mogelijkheid om geldende artikelen niet van toepassing te verklaren </w:t>
            </w:r>
            <w:proofErr w:type="spellStart"/>
            <w:r w:rsidRPr="00D513CE">
              <w:rPr>
                <w:rFonts w:hAnsi="Calibri"/>
                <w:color w:val="000000"/>
                <w:sz w:val="16"/>
                <w:szCs w:val="16"/>
              </w:rPr>
              <w:t>tbv</w:t>
            </w:r>
            <w:proofErr w:type="spellEnd"/>
            <w:r w:rsidRPr="00D513CE">
              <w:rPr>
                <w:rFonts w:hAnsi="Calibri"/>
                <w:color w:val="000000"/>
                <w:sz w:val="16"/>
                <w:szCs w:val="16"/>
              </w:rPr>
              <w:t xml:space="preserve"> een algemeen verbindend verklaarde overeenkomst </w:t>
            </w:r>
            <w:r w:rsidRPr="00D513CE">
              <w:rPr>
                <w:rFonts w:hAnsi="Calibri"/>
                <w:color w:val="000000"/>
                <w:sz w:val="16"/>
                <w:szCs w:val="16"/>
              </w:rPr>
              <w:t> </w:t>
            </w:r>
          </w:p>
        </w:tc>
        <w:tc>
          <w:tcPr>
            <w:tcW w:w="814"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810" w:type="dxa"/>
            <w:tcBorders>
              <w:top w:val="single" w:sz="4" w:space="0" w:color="D8D8D8"/>
              <w:left w:val="nil"/>
              <w:bottom w:val="single" w:sz="4" w:space="0" w:color="D8D8D8"/>
              <w:right w:val="nil"/>
            </w:tcBorders>
            <w:vAlign w:val="center"/>
          </w:tcPr>
          <w:p w:rsidR="00186BB1" w:rsidRPr="00D513CE" w:rsidRDefault="00140307" w:rsidP="00D513CE">
            <w:pPr>
              <w:spacing w:after="160"/>
              <w:jc w:val="center"/>
              <w:rPr>
                <w:rFonts w:hAnsi="Calibri"/>
                <w:color w:val="000000"/>
                <w:sz w:val="16"/>
                <w:szCs w:val="16"/>
              </w:rPr>
            </w:pPr>
            <w:r w:rsidRPr="00D513CE">
              <w:rPr>
                <w:rFonts w:hAnsi="Calibri"/>
                <w:color w:val="000000"/>
                <w:sz w:val="16"/>
                <w:szCs w:val="16"/>
              </w:rPr>
              <w:t>124 t/m 125</w:t>
            </w:r>
          </w:p>
        </w:tc>
        <w:tc>
          <w:tcPr>
            <w:tcW w:w="658"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7218" w:type="dxa"/>
            <w:gridSpan w:val="3"/>
            <w:tcBorders>
              <w:top w:val="single" w:sz="4" w:space="0" w:color="D8D8D8"/>
              <w:left w:val="single" w:sz="4" w:space="0" w:color="000000"/>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Mogelijkheid bestuurlijke boete </w:t>
            </w:r>
            <w:r w:rsidRPr="00D513CE">
              <w:rPr>
                <w:rFonts w:ascii="Verdana" w:hAnsi="Calibri"/>
              </w:rPr>
              <w:t> </w:t>
            </w:r>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p>
        </w:tc>
        <w:tc>
          <w:tcPr>
            <w:tcW w:w="814"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105</w:t>
            </w:r>
          </w:p>
        </w:tc>
        <w:tc>
          <w:tcPr>
            <w:tcW w:w="810" w:type="dxa"/>
            <w:tcBorders>
              <w:top w:val="single" w:sz="4" w:space="0" w:color="D8D8D8"/>
              <w:left w:val="nil"/>
              <w:bottom w:val="single" w:sz="4" w:space="0" w:color="D8D8D8"/>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658" w:type="dxa"/>
            <w:tcBorders>
              <w:top w:val="single" w:sz="4" w:space="0" w:color="D8D8D8"/>
              <w:left w:val="nil"/>
              <w:bottom w:val="single" w:sz="4" w:space="0" w:color="D8D8D8"/>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r w:rsidR="00186BB1" w:rsidRPr="00D513CE">
        <w:trPr>
          <w:trHeight w:val="288"/>
        </w:trPr>
        <w:tc>
          <w:tcPr>
            <w:tcW w:w="177" w:type="dxa"/>
            <w:tcBorders>
              <w:top w:val="single" w:sz="4" w:space="0" w:color="D8D8D8"/>
              <w:left w:val="single" w:sz="4" w:space="0" w:color="000000"/>
              <w:bottom w:val="single" w:sz="4" w:space="0" w:color="D8D8D8"/>
              <w:right w:val="nil"/>
            </w:tcBorders>
            <w:vAlign w:val="center"/>
          </w:tcPr>
          <w:p w:rsidR="00186BB1" w:rsidRPr="00D513CE" w:rsidRDefault="00186BB1" w:rsidP="00D513CE">
            <w:pPr>
              <w:spacing w:after="160" w:line="259" w:lineRule="auto"/>
              <w:rPr>
                <w:rFonts w:hAnsi="Calibri"/>
              </w:rPr>
            </w:pPr>
          </w:p>
        </w:tc>
        <w:tc>
          <w:tcPr>
            <w:tcW w:w="178"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6863"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814"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810" w:type="dxa"/>
            <w:tcBorders>
              <w:top w:val="single" w:sz="4" w:space="0" w:color="D8D8D8"/>
              <w:left w:val="nil"/>
              <w:bottom w:val="single" w:sz="4" w:space="0" w:color="D8D8D8"/>
              <w:right w:val="nil"/>
            </w:tcBorders>
            <w:vAlign w:val="center"/>
          </w:tcPr>
          <w:p w:rsidR="00186BB1" w:rsidRPr="00D513CE" w:rsidRDefault="00186BB1" w:rsidP="00D513CE">
            <w:pPr>
              <w:spacing w:after="160" w:line="259" w:lineRule="auto"/>
              <w:rPr>
                <w:rFonts w:hAnsi="Calibri"/>
              </w:rPr>
            </w:pPr>
          </w:p>
        </w:tc>
        <w:tc>
          <w:tcPr>
            <w:tcW w:w="658" w:type="dxa"/>
            <w:tcBorders>
              <w:top w:val="single" w:sz="4" w:space="0" w:color="D8D8D8"/>
              <w:left w:val="nil"/>
              <w:bottom w:val="single" w:sz="4" w:space="0" w:color="D8D8D8"/>
              <w:right w:val="single" w:sz="4" w:space="0" w:color="000000"/>
            </w:tcBorders>
            <w:vAlign w:val="center"/>
          </w:tcPr>
          <w:p w:rsidR="00186BB1" w:rsidRPr="00D513CE" w:rsidRDefault="00186BB1" w:rsidP="00D513CE">
            <w:pPr>
              <w:spacing w:after="160" w:line="259" w:lineRule="auto"/>
              <w:rPr>
                <w:rFonts w:hAnsi="Calibri"/>
              </w:rPr>
            </w:pPr>
          </w:p>
        </w:tc>
      </w:tr>
      <w:tr w:rsidR="00186BB1" w:rsidRPr="00D513CE">
        <w:trPr>
          <w:trHeight w:val="288"/>
        </w:trPr>
        <w:tc>
          <w:tcPr>
            <w:tcW w:w="7218" w:type="dxa"/>
            <w:gridSpan w:val="3"/>
            <w:tcBorders>
              <w:top w:val="single" w:sz="4" w:space="0" w:color="D8D8D8"/>
              <w:left w:val="single" w:sz="4" w:space="0" w:color="000000"/>
              <w:bottom w:val="single" w:sz="4" w:space="0" w:color="000000"/>
              <w:right w:val="nil"/>
            </w:tcBorders>
            <w:shd w:val="clear" w:color="000000" w:fill="D8D8D8" w:themeFill="background1" w:themeFillShade="D8"/>
            <w:vAlign w:val="center"/>
          </w:tcPr>
          <w:p w:rsidR="00186BB1" w:rsidRPr="00D513CE" w:rsidRDefault="00140307" w:rsidP="00D513CE">
            <w:pPr>
              <w:pStyle w:val="Kop2"/>
              <w:spacing w:line="276" w:lineRule="auto"/>
              <w:rPr>
                <w:rFonts w:ascii="Verdana" w:hAnsi="Calibri"/>
              </w:rPr>
            </w:pPr>
            <w:r w:rsidRPr="00D513CE">
              <w:rPr>
                <w:rFonts w:ascii="Verdana" w:hAnsi="Calibri"/>
              </w:rPr>
              <w:t xml:space="preserve">Overgangsrecht </w:t>
            </w:r>
            <w:r w:rsidRPr="00D513CE">
              <w:rPr>
                <w:rFonts w:ascii="Verdana" w:hAnsi="Calibri"/>
              </w:rPr>
              <w:t> </w:t>
            </w:r>
            <w:r w:rsidRPr="00D513CE">
              <w:rPr>
                <w:rFonts w:ascii="Verdana" w:hAnsi="Calibri"/>
              </w:rPr>
              <w:t xml:space="preserve"> </w:t>
            </w:r>
            <w:r w:rsidRPr="00D513CE">
              <w:rPr>
                <w:rFonts w:ascii="Verdana" w:hAnsi="Calibri"/>
              </w:rPr>
              <w:t> </w:t>
            </w:r>
            <w:r w:rsidRPr="00D513CE">
              <w:rPr>
                <w:rFonts w:ascii="Verdana" w:hAnsi="Calibri"/>
              </w:rPr>
              <w:t xml:space="preserve"> </w:t>
            </w:r>
            <w:r w:rsidRPr="00D513CE">
              <w:rPr>
                <w:rFonts w:ascii="Verdana" w:hAnsi="Calibri"/>
              </w:rPr>
              <w:t> </w:t>
            </w:r>
          </w:p>
        </w:tc>
        <w:tc>
          <w:tcPr>
            <w:tcW w:w="814" w:type="dxa"/>
            <w:tcBorders>
              <w:top w:val="single" w:sz="4" w:space="0" w:color="D8D8D8"/>
              <w:left w:val="nil"/>
              <w:bottom w:val="single" w:sz="4" w:space="0" w:color="000000"/>
              <w:right w:val="nil"/>
            </w:tcBorders>
            <w:shd w:val="clear" w:color="000000" w:fill="D8D8D8" w:themeFill="background1" w:themeFillShade="D8"/>
            <w:vAlign w:val="center"/>
          </w:tcPr>
          <w:p w:rsidR="00186BB1" w:rsidRPr="00D513CE" w:rsidRDefault="00140307" w:rsidP="00D513CE">
            <w:pPr>
              <w:pStyle w:val="Kop2"/>
              <w:spacing w:line="276" w:lineRule="auto"/>
              <w:jc w:val="center"/>
              <w:rPr>
                <w:rFonts w:ascii="Verdana" w:hAnsi="Calibri"/>
              </w:rPr>
            </w:pPr>
            <w:r w:rsidRPr="00D513CE">
              <w:rPr>
                <w:rFonts w:ascii="Verdana" w:hAnsi="Calibri"/>
              </w:rPr>
              <w:t>II</w:t>
            </w:r>
          </w:p>
        </w:tc>
        <w:tc>
          <w:tcPr>
            <w:tcW w:w="810" w:type="dxa"/>
            <w:tcBorders>
              <w:top w:val="single" w:sz="4" w:space="0" w:color="D8D8D8"/>
              <w:left w:val="nil"/>
              <w:bottom w:val="single" w:sz="4" w:space="0" w:color="000000"/>
              <w:right w:val="nil"/>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c>
          <w:tcPr>
            <w:tcW w:w="658" w:type="dxa"/>
            <w:tcBorders>
              <w:top w:val="single" w:sz="4" w:space="0" w:color="D8D8D8"/>
              <w:left w:val="nil"/>
              <w:bottom w:val="single" w:sz="4" w:space="0" w:color="000000"/>
              <w:right w:val="single" w:sz="4" w:space="0" w:color="000000"/>
            </w:tcBorders>
            <w:shd w:val="clear" w:color="000000" w:fill="D8D8D8" w:themeFill="background1" w:themeFillShade="D8"/>
            <w:vAlign w:val="center"/>
          </w:tcPr>
          <w:p w:rsidR="00186BB1" w:rsidRPr="00D513CE" w:rsidRDefault="00186BB1" w:rsidP="00D513CE">
            <w:pPr>
              <w:spacing w:after="160" w:line="259" w:lineRule="auto"/>
              <w:rPr>
                <w:rFonts w:hAnsi="Calibri"/>
              </w:rPr>
            </w:pPr>
          </w:p>
        </w:tc>
      </w:tr>
    </w:tbl>
    <w:p w:rsidR="00186BB1" w:rsidRPr="00D513CE" w:rsidRDefault="00186BB1" w:rsidP="00D513CE">
      <w:pPr>
        <w:spacing w:after="160" w:line="259" w:lineRule="auto"/>
        <w:rPr>
          <w:rFonts w:hAnsi="Calibri"/>
        </w:rPr>
      </w:pPr>
    </w:p>
    <w:p w:rsidR="00186BB1" w:rsidRPr="00D513CE" w:rsidRDefault="00140307" w:rsidP="00D513CE">
      <w:pPr>
        <w:spacing w:after="160" w:line="259" w:lineRule="auto"/>
        <w:rPr>
          <w:rFonts w:hAnsi="Calibri"/>
        </w:rPr>
      </w:pPr>
      <w:r w:rsidRPr="00315D89">
        <w:br w:type="page"/>
      </w:r>
    </w:p>
    <w:p w:rsidR="00186BB1" w:rsidRPr="00D513CE" w:rsidRDefault="00186BB1" w:rsidP="00D513CE">
      <w:pPr>
        <w:spacing w:after="160" w:line="259" w:lineRule="auto"/>
        <w:rPr>
          <w:rFonts w:hAnsi="Calibri"/>
        </w:rPr>
      </w:pPr>
    </w:p>
    <w:p w:rsidR="00186BB1" w:rsidRPr="00D513CE" w:rsidRDefault="00186BB1" w:rsidP="00D513CE">
      <w:pPr>
        <w:spacing w:after="160" w:line="259" w:lineRule="auto"/>
        <w:rPr>
          <w:rFonts w:hAnsi="Calibri"/>
        </w:rPr>
      </w:pPr>
    </w:p>
    <w:p w:rsidR="00186BB1" w:rsidRPr="00D513CE" w:rsidRDefault="00186BB1" w:rsidP="00D513CE">
      <w:pPr>
        <w:spacing w:after="160" w:line="259" w:lineRule="auto"/>
        <w:rPr>
          <w:rFonts w:hAnsi="Calibri"/>
        </w:rPr>
      </w:pPr>
    </w:p>
    <w:p w:rsidR="00186BB1" w:rsidRPr="00D513CE" w:rsidRDefault="00140307" w:rsidP="00D513CE">
      <w:pPr>
        <w:tabs>
          <w:tab w:val="left" w:pos="8467"/>
        </w:tabs>
        <w:spacing w:after="160" w:line="259" w:lineRule="auto"/>
        <w:rPr>
          <w:rFonts w:hAnsi="Calibri"/>
        </w:rPr>
      </w:pPr>
      <w:r w:rsidRPr="00D513CE">
        <w:rPr>
          <w:rFonts w:hAnsi="Calibri"/>
        </w:rPr>
        <w:tab/>
      </w:r>
    </w:p>
    <w:sectPr w:rsidR="00186BB1" w:rsidRPr="00D513CE" w:rsidSect="00D513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D10" w:rsidRDefault="00F30D10">
      <w:r>
        <w:separator/>
      </w:r>
    </w:p>
  </w:endnote>
  <w:endnote w:type="continuationSeparator" w:id="0">
    <w:p w:rsidR="00F30D10" w:rsidRDefault="00F3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4A" w:rsidRDefault="009B6C4A">
    <w:pPr>
      <w:pStyle w:val="Voettekst"/>
      <w:rPr>
        <w:rFonts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4A" w:rsidRDefault="009B6C4A">
    <w:pPr>
      <w:pStyle w:val="Voettekst"/>
      <w:rPr>
        <w:rFonts w:hAnsi="Calibr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4A" w:rsidRDefault="009B6C4A">
    <w:pPr>
      <w:pStyle w:val="Voettekst"/>
      <w:rPr>
        <w:rFonts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D10" w:rsidRDefault="00F30D10">
      <w:r>
        <w:separator/>
      </w:r>
    </w:p>
  </w:footnote>
  <w:footnote w:type="continuationSeparator" w:id="0">
    <w:p w:rsidR="00F30D10" w:rsidRDefault="00F30D10">
      <w:r>
        <w:continuationSeparator/>
      </w:r>
    </w:p>
  </w:footnote>
  <w:footnote w:id="1">
    <w:p w:rsidR="009B6C4A" w:rsidRDefault="009B6C4A">
      <w:pPr>
        <w:pStyle w:val="Voetnoottekst"/>
      </w:pPr>
      <w:r>
        <w:rPr>
          <w:rStyle w:val="Voetnootmarkering"/>
        </w:rPr>
        <w:footnoteRef/>
      </w:r>
      <w:r>
        <w:t xml:space="preserve"> Als gevolg van de herziening van de Woningwet zijn</w:t>
      </w:r>
      <w:r w:rsidRPr="00A2794A">
        <w:t xml:space="preserve"> de beleidsregels van het WSW onderhevig aan goedkeuring door de minister, moeten kandidaat-bestuurders en –commissarissen van het WSW een toets op geschiktheid en betrouwbaarheid ondergaan en is er toezicht op een beheerste en integere bedrijfsvoering door het WSW. Het WSW dient de minister zowel passief als actief te informeren over zijn werkzaamheden.</w:t>
      </w:r>
      <w:r>
        <w:rPr>
          <w:rFonts w:ascii="Verdana" w:hAnsi="Verdana"/>
          <w:sz w:val="18"/>
          <w:szCs w:val="18"/>
        </w:rPr>
        <w:br/>
      </w:r>
    </w:p>
  </w:footnote>
  <w:footnote w:id="2">
    <w:p w:rsidR="009B6C4A" w:rsidRDefault="009B6C4A">
      <w:pPr>
        <w:pStyle w:val="Voetnoottekst"/>
      </w:pPr>
      <w:r>
        <w:rPr>
          <w:rStyle w:val="Voetnootmarkering"/>
        </w:rPr>
        <w:footnoteRef/>
      </w:r>
      <w:r>
        <w:t xml:space="preserve"> Zie voor de daarbij geldende inkomensgrenzen de paragraaf over toewijzen naar inkomen verderop in dit rapport.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4A" w:rsidRDefault="009B6C4A">
    <w:pPr>
      <w:pStyle w:val="Koptekst"/>
      <w:rPr>
        <w:rFonts w:hAnsi="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4A" w:rsidRDefault="009B6C4A">
    <w:pPr>
      <w:pStyle w:val="Koptekst"/>
      <w:rPr>
        <w:rFonts w:hAnsi="Calibr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4A" w:rsidRDefault="009B6C4A">
    <w:pPr>
      <w:pStyle w:val="Koptekst"/>
      <w:rPr>
        <w:rFonts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A5A5A5B"/>
    <w:lvl w:ilvl="0" w:tplc="96FA5FF6">
      <w:start w:val="1"/>
      <w:numFmt w:val="bullet"/>
      <w:lvlText w:val="·"/>
      <w:lvlJc w:val="left"/>
      <w:pPr>
        <w:ind w:left="720" w:hanging="360"/>
      </w:pPr>
      <w:rPr>
        <w:rFonts w:ascii="Symbol" w:eastAsia="Symbol" w:hAnsi="Symbol"/>
        <w:w w:val="100"/>
        <w:sz w:val="20"/>
        <w:szCs w:val="20"/>
        <w:shd w:val="clear" w:color="auto" w:fill="auto"/>
      </w:rPr>
    </w:lvl>
    <w:lvl w:ilvl="1" w:tplc="BDD8B5FE">
      <w:start w:val="1"/>
      <w:numFmt w:val="decimal"/>
      <w:lvlText w:val="%2."/>
      <w:lvlJc w:val="left"/>
      <w:pPr>
        <w:ind w:left="1440" w:hanging="360"/>
      </w:pPr>
    </w:lvl>
    <w:lvl w:ilvl="2" w:tplc="84FE6DCA">
      <w:start w:val="1"/>
      <w:numFmt w:val="bullet"/>
      <w:lvlText w:val="§"/>
      <w:lvlJc w:val="left"/>
      <w:pPr>
        <w:ind w:left="2160" w:hanging="360"/>
      </w:pPr>
      <w:rPr>
        <w:rFonts w:ascii="Wingdings" w:eastAsia="Wingdings" w:hAnsi="Wingdings"/>
        <w:w w:val="100"/>
        <w:sz w:val="20"/>
        <w:szCs w:val="20"/>
        <w:shd w:val="clear" w:color="auto" w:fill="auto"/>
      </w:rPr>
    </w:lvl>
    <w:lvl w:ilvl="3" w:tplc="487649D6">
      <w:start w:val="1"/>
      <w:numFmt w:val="bullet"/>
      <w:lvlText w:val="·"/>
      <w:lvlJc w:val="left"/>
      <w:pPr>
        <w:ind w:left="2880" w:hanging="360"/>
      </w:pPr>
      <w:rPr>
        <w:rFonts w:ascii="Symbol" w:eastAsia="Symbol" w:hAnsi="Symbol"/>
        <w:w w:val="100"/>
        <w:sz w:val="20"/>
        <w:szCs w:val="20"/>
        <w:shd w:val="clear" w:color="auto" w:fill="auto"/>
      </w:rPr>
    </w:lvl>
    <w:lvl w:ilvl="4" w:tplc="EF1CAD62">
      <w:start w:val="1"/>
      <w:numFmt w:val="bullet"/>
      <w:lvlText w:val="o"/>
      <w:lvlJc w:val="left"/>
      <w:pPr>
        <w:ind w:left="3600" w:hanging="360"/>
      </w:pPr>
      <w:rPr>
        <w:rFonts w:ascii="Courier New" w:eastAsia="Courier New" w:hAnsi="Courier New"/>
        <w:w w:val="100"/>
        <w:sz w:val="20"/>
        <w:szCs w:val="20"/>
        <w:shd w:val="clear" w:color="auto" w:fill="auto"/>
      </w:rPr>
    </w:lvl>
    <w:lvl w:ilvl="5" w:tplc="FE66584A">
      <w:start w:val="1"/>
      <w:numFmt w:val="bullet"/>
      <w:lvlText w:val="§"/>
      <w:lvlJc w:val="left"/>
      <w:pPr>
        <w:ind w:left="4320" w:hanging="360"/>
      </w:pPr>
      <w:rPr>
        <w:rFonts w:ascii="Wingdings" w:eastAsia="Wingdings" w:hAnsi="Wingdings"/>
        <w:w w:val="100"/>
        <w:sz w:val="20"/>
        <w:szCs w:val="20"/>
        <w:shd w:val="clear" w:color="auto" w:fill="auto"/>
      </w:rPr>
    </w:lvl>
    <w:lvl w:ilvl="6" w:tplc="7F88F428">
      <w:start w:val="1"/>
      <w:numFmt w:val="bullet"/>
      <w:lvlText w:val="·"/>
      <w:lvlJc w:val="left"/>
      <w:pPr>
        <w:ind w:left="5040" w:hanging="360"/>
      </w:pPr>
      <w:rPr>
        <w:rFonts w:ascii="Symbol" w:eastAsia="Symbol" w:hAnsi="Symbol"/>
        <w:w w:val="100"/>
        <w:sz w:val="20"/>
        <w:szCs w:val="20"/>
        <w:shd w:val="clear" w:color="auto" w:fill="auto"/>
      </w:rPr>
    </w:lvl>
    <w:lvl w:ilvl="7" w:tplc="5B96198C">
      <w:start w:val="1"/>
      <w:numFmt w:val="bullet"/>
      <w:lvlText w:val="o"/>
      <w:lvlJc w:val="left"/>
      <w:pPr>
        <w:ind w:left="5760" w:hanging="360"/>
      </w:pPr>
      <w:rPr>
        <w:rFonts w:ascii="Courier New" w:eastAsia="Courier New" w:hAnsi="Courier New"/>
        <w:w w:val="100"/>
        <w:sz w:val="20"/>
        <w:szCs w:val="20"/>
        <w:shd w:val="clear" w:color="auto" w:fill="auto"/>
      </w:rPr>
    </w:lvl>
    <w:lvl w:ilvl="8" w:tplc="55C6E17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11E22216"/>
    <w:lvl w:ilvl="0" w:tplc="9444961C">
      <w:start w:val="1"/>
      <w:numFmt w:val="bullet"/>
      <w:lvlText w:val="·"/>
      <w:lvlJc w:val="left"/>
      <w:pPr>
        <w:ind w:left="720" w:hanging="360"/>
      </w:pPr>
      <w:rPr>
        <w:rFonts w:ascii="Symbol" w:eastAsia="Symbol" w:hAnsi="Symbol"/>
        <w:b w:val="0"/>
        <w:w w:val="100"/>
        <w:sz w:val="18"/>
        <w:szCs w:val="18"/>
        <w:u w:val="none"/>
        <w:shd w:val="clear" w:color="auto" w:fill="auto"/>
      </w:rPr>
    </w:lvl>
    <w:lvl w:ilvl="1" w:tplc="2976D7D4">
      <w:start w:val="1"/>
      <w:numFmt w:val="bullet"/>
      <w:lvlText w:val="o"/>
      <w:lvlJc w:val="left"/>
      <w:pPr>
        <w:ind w:left="1440" w:hanging="360"/>
      </w:pPr>
      <w:rPr>
        <w:rFonts w:ascii="Courier New" w:eastAsia="Courier New" w:hAnsi="Courier New"/>
        <w:w w:val="100"/>
        <w:sz w:val="20"/>
        <w:szCs w:val="20"/>
        <w:shd w:val="clear" w:color="auto" w:fill="auto"/>
      </w:rPr>
    </w:lvl>
    <w:lvl w:ilvl="2" w:tplc="8884D904">
      <w:start w:val="1"/>
      <w:numFmt w:val="bullet"/>
      <w:lvlText w:val="§"/>
      <w:lvlJc w:val="left"/>
      <w:pPr>
        <w:ind w:left="2160" w:hanging="360"/>
      </w:pPr>
      <w:rPr>
        <w:rFonts w:ascii="Wingdings" w:eastAsia="Wingdings" w:hAnsi="Wingdings"/>
        <w:w w:val="100"/>
        <w:sz w:val="20"/>
        <w:szCs w:val="20"/>
        <w:shd w:val="clear" w:color="auto" w:fill="auto"/>
      </w:rPr>
    </w:lvl>
    <w:lvl w:ilvl="3" w:tplc="2CECB80A">
      <w:start w:val="1"/>
      <w:numFmt w:val="bullet"/>
      <w:lvlText w:val="·"/>
      <w:lvlJc w:val="left"/>
      <w:pPr>
        <w:ind w:left="2880" w:hanging="360"/>
      </w:pPr>
      <w:rPr>
        <w:rFonts w:ascii="Symbol" w:eastAsia="Symbol" w:hAnsi="Symbol"/>
        <w:w w:val="100"/>
        <w:sz w:val="20"/>
        <w:szCs w:val="20"/>
        <w:shd w:val="clear" w:color="auto" w:fill="auto"/>
      </w:rPr>
    </w:lvl>
    <w:lvl w:ilvl="4" w:tplc="E1063A80">
      <w:start w:val="1"/>
      <w:numFmt w:val="bullet"/>
      <w:lvlText w:val="o"/>
      <w:lvlJc w:val="left"/>
      <w:pPr>
        <w:ind w:left="3600" w:hanging="360"/>
      </w:pPr>
      <w:rPr>
        <w:rFonts w:ascii="Courier New" w:eastAsia="Courier New" w:hAnsi="Courier New"/>
        <w:w w:val="100"/>
        <w:sz w:val="20"/>
        <w:szCs w:val="20"/>
        <w:shd w:val="clear" w:color="auto" w:fill="auto"/>
      </w:rPr>
    </w:lvl>
    <w:lvl w:ilvl="5" w:tplc="AD6EF22A">
      <w:start w:val="1"/>
      <w:numFmt w:val="bullet"/>
      <w:lvlText w:val="§"/>
      <w:lvlJc w:val="left"/>
      <w:pPr>
        <w:ind w:left="4320" w:hanging="360"/>
      </w:pPr>
      <w:rPr>
        <w:rFonts w:ascii="Wingdings" w:eastAsia="Wingdings" w:hAnsi="Wingdings"/>
        <w:w w:val="100"/>
        <w:sz w:val="20"/>
        <w:szCs w:val="20"/>
        <w:shd w:val="clear" w:color="auto" w:fill="auto"/>
      </w:rPr>
    </w:lvl>
    <w:lvl w:ilvl="6" w:tplc="B8B6B6FE">
      <w:start w:val="1"/>
      <w:numFmt w:val="bullet"/>
      <w:lvlText w:val="·"/>
      <w:lvlJc w:val="left"/>
      <w:pPr>
        <w:ind w:left="5040" w:hanging="360"/>
      </w:pPr>
      <w:rPr>
        <w:rFonts w:ascii="Symbol" w:eastAsia="Symbol" w:hAnsi="Symbol"/>
        <w:w w:val="100"/>
        <w:sz w:val="20"/>
        <w:szCs w:val="20"/>
        <w:shd w:val="clear" w:color="auto" w:fill="auto"/>
      </w:rPr>
    </w:lvl>
    <w:lvl w:ilvl="7" w:tplc="A2A079BE">
      <w:start w:val="1"/>
      <w:numFmt w:val="bullet"/>
      <w:lvlText w:val="o"/>
      <w:lvlJc w:val="left"/>
      <w:pPr>
        <w:ind w:left="5760" w:hanging="360"/>
      </w:pPr>
      <w:rPr>
        <w:rFonts w:ascii="Courier New" w:eastAsia="Courier New" w:hAnsi="Courier New"/>
        <w:w w:val="100"/>
        <w:sz w:val="20"/>
        <w:szCs w:val="20"/>
        <w:shd w:val="clear" w:color="auto" w:fill="auto"/>
      </w:rPr>
    </w:lvl>
    <w:lvl w:ilvl="8" w:tplc="F0B881B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152BDB86"/>
    <w:lvl w:ilvl="0" w:tplc="FADA0E70">
      <w:start w:val="1"/>
      <w:numFmt w:val="decimal"/>
      <w:lvlText w:val="%1."/>
      <w:lvlJc w:val="left"/>
      <w:pPr>
        <w:ind w:left="720" w:hanging="360"/>
      </w:pPr>
    </w:lvl>
    <w:lvl w:ilvl="1" w:tplc="416E7720">
      <w:start w:val="1"/>
      <w:numFmt w:val="lowerLetter"/>
      <w:lvlText w:val="%2."/>
      <w:lvlJc w:val="left"/>
      <w:pPr>
        <w:ind w:left="1440" w:hanging="360"/>
      </w:pPr>
    </w:lvl>
    <w:lvl w:ilvl="2" w:tplc="7FCC50DC">
      <w:start w:val="1"/>
      <w:numFmt w:val="lowerRoman"/>
      <w:lvlText w:val="%3."/>
      <w:lvlJc w:val="right"/>
      <w:pPr>
        <w:ind w:left="1980" w:hanging="180"/>
      </w:pPr>
    </w:lvl>
    <w:lvl w:ilvl="3" w:tplc="838E614C">
      <w:start w:val="1"/>
      <w:numFmt w:val="decimal"/>
      <w:lvlText w:val="%4."/>
      <w:lvlJc w:val="left"/>
      <w:pPr>
        <w:ind w:left="2880" w:hanging="360"/>
      </w:pPr>
    </w:lvl>
    <w:lvl w:ilvl="4" w:tplc="FF749828">
      <w:start w:val="1"/>
      <w:numFmt w:val="lowerLetter"/>
      <w:lvlText w:val="%5."/>
      <w:lvlJc w:val="left"/>
      <w:pPr>
        <w:ind w:left="3600" w:hanging="360"/>
      </w:pPr>
    </w:lvl>
    <w:lvl w:ilvl="5" w:tplc="C93A6A2E">
      <w:start w:val="1"/>
      <w:numFmt w:val="lowerRoman"/>
      <w:lvlText w:val="%6."/>
      <w:lvlJc w:val="right"/>
      <w:pPr>
        <w:ind w:left="4140" w:hanging="180"/>
      </w:pPr>
    </w:lvl>
    <w:lvl w:ilvl="6" w:tplc="D8C6E4EA">
      <w:start w:val="1"/>
      <w:numFmt w:val="decimal"/>
      <w:lvlText w:val="%7."/>
      <w:lvlJc w:val="left"/>
      <w:pPr>
        <w:ind w:left="5040" w:hanging="360"/>
      </w:pPr>
    </w:lvl>
    <w:lvl w:ilvl="7" w:tplc="9F66B4B4">
      <w:start w:val="1"/>
      <w:numFmt w:val="lowerLetter"/>
      <w:lvlText w:val="%8."/>
      <w:lvlJc w:val="left"/>
      <w:pPr>
        <w:ind w:left="5760" w:hanging="360"/>
      </w:pPr>
    </w:lvl>
    <w:lvl w:ilvl="8" w:tplc="CD9C7098">
      <w:start w:val="1"/>
      <w:numFmt w:val="lowerRoman"/>
      <w:lvlText w:val="%9."/>
      <w:lvlJc w:val="right"/>
      <w:pPr>
        <w:ind w:left="6300" w:hanging="180"/>
      </w:pPr>
    </w:lvl>
  </w:abstractNum>
  <w:abstractNum w:abstractNumId="3" w15:restartNumberingAfterBreak="0">
    <w:nsid w:val="00000004"/>
    <w:multiLevelType w:val="hybridMultilevel"/>
    <w:tmpl w:val="72594545"/>
    <w:lvl w:ilvl="0" w:tplc="41081DC4">
      <w:start w:val="1"/>
      <w:numFmt w:val="bullet"/>
      <w:lvlText w:val="·"/>
      <w:lvlJc w:val="left"/>
      <w:pPr>
        <w:ind w:left="1146" w:hanging="360"/>
      </w:pPr>
      <w:rPr>
        <w:rFonts w:ascii="Symbol" w:eastAsia="Symbol" w:hAnsi="Symbol"/>
        <w:w w:val="100"/>
        <w:sz w:val="20"/>
        <w:szCs w:val="20"/>
        <w:shd w:val="clear" w:color="auto" w:fill="auto"/>
      </w:rPr>
    </w:lvl>
    <w:lvl w:ilvl="1" w:tplc="68AC2952">
      <w:start w:val="1"/>
      <w:numFmt w:val="bullet"/>
      <w:lvlText w:val="o"/>
      <w:lvlJc w:val="left"/>
      <w:pPr>
        <w:ind w:left="1866" w:hanging="360"/>
      </w:pPr>
      <w:rPr>
        <w:rFonts w:ascii="Courier New" w:eastAsia="Courier New" w:hAnsi="Courier New"/>
        <w:w w:val="100"/>
        <w:sz w:val="20"/>
        <w:szCs w:val="20"/>
        <w:shd w:val="clear" w:color="auto" w:fill="auto"/>
      </w:rPr>
    </w:lvl>
    <w:lvl w:ilvl="2" w:tplc="A5E4A1DC">
      <w:start w:val="1"/>
      <w:numFmt w:val="bullet"/>
      <w:lvlText w:val="§"/>
      <w:lvlJc w:val="left"/>
      <w:pPr>
        <w:ind w:left="2586" w:hanging="360"/>
      </w:pPr>
      <w:rPr>
        <w:rFonts w:ascii="Wingdings" w:eastAsia="Wingdings" w:hAnsi="Wingdings"/>
        <w:w w:val="100"/>
        <w:sz w:val="20"/>
        <w:szCs w:val="20"/>
        <w:shd w:val="clear" w:color="auto" w:fill="auto"/>
      </w:rPr>
    </w:lvl>
    <w:lvl w:ilvl="3" w:tplc="20AE30E4">
      <w:start w:val="1"/>
      <w:numFmt w:val="bullet"/>
      <w:lvlText w:val="·"/>
      <w:lvlJc w:val="left"/>
      <w:pPr>
        <w:ind w:left="3306" w:hanging="360"/>
      </w:pPr>
      <w:rPr>
        <w:rFonts w:ascii="Symbol" w:eastAsia="Symbol" w:hAnsi="Symbol"/>
        <w:w w:val="100"/>
        <w:sz w:val="20"/>
        <w:szCs w:val="20"/>
        <w:shd w:val="clear" w:color="auto" w:fill="auto"/>
      </w:rPr>
    </w:lvl>
    <w:lvl w:ilvl="4" w:tplc="E51E3000">
      <w:start w:val="1"/>
      <w:numFmt w:val="bullet"/>
      <w:lvlText w:val="o"/>
      <w:lvlJc w:val="left"/>
      <w:pPr>
        <w:ind w:left="4026" w:hanging="360"/>
      </w:pPr>
      <w:rPr>
        <w:rFonts w:ascii="Courier New" w:eastAsia="Courier New" w:hAnsi="Courier New"/>
        <w:w w:val="100"/>
        <w:sz w:val="20"/>
        <w:szCs w:val="20"/>
        <w:shd w:val="clear" w:color="auto" w:fill="auto"/>
      </w:rPr>
    </w:lvl>
    <w:lvl w:ilvl="5" w:tplc="CAA241D6">
      <w:start w:val="1"/>
      <w:numFmt w:val="bullet"/>
      <w:lvlText w:val="§"/>
      <w:lvlJc w:val="left"/>
      <w:pPr>
        <w:ind w:left="4746" w:hanging="360"/>
      </w:pPr>
      <w:rPr>
        <w:rFonts w:ascii="Wingdings" w:eastAsia="Wingdings" w:hAnsi="Wingdings"/>
        <w:w w:val="100"/>
        <w:sz w:val="20"/>
        <w:szCs w:val="20"/>
        <w:shd w:val="clear" w:color="auto" w:fill="auto"/>
      </w:rPr>
    </w:lvl>
    <w:lvl w:ilvl="6" w:tplc="1582633C">
      <w:start w:val="1"/>
      <w:numFmt w:val="bullet"/>
      <w:lvlText w:val="·"/>
      <w:lvlJc w:val="left"/>
      <w:pPr>
        <w:ind w:left="5466" w:hanging="360"/>
      </w:pPr>
      <w:rPr>
        <w:rFonts w:ascii="Symbol" w:eastAsia="Symbol" w:hAnsi="Symbol"/>
        <w:w w:val="100"/>
        <w:sz w:val="20"/>
        <w:szCs w:val="20"/>
        <w:shd w:val="clear" w:color="auto" w:fill="auto"/>
      </w:rPr>
    </w:lvl>
    <w:lvl w:ilvl="7" w:tplc="6506FD54">
      <w:start w:val="1"/>
      <w:numFmt w:val="bullet"/>
      <w:lvlText w:val="o"/>
      <w:lvlJc w:val="left"/>
      <w:pPr>
        <w:ind w:left="6186" w:hanging="360"/>
      </w:pPr>
      <w:rPr>
        <w:rFonts w:ascii="Courier New" w:eastAsia="Courier New" w:hAnsi="Courier New"/>
        <w:w w:val="100"/>
        <w:sz w:val="20"/>
        <w:szCs w:val="20"/>
        <w:shd w:val="clear" w:color="auto" w:fill="auto"/>
      </w:rPr>
    </w:lvl>
    <w:lvl w:ilvl="8" w:tplc="326A93DE">
      <w:start w:val="1"/>
      <w:numFmt w:val="bullet"/>
      <w:lvlText w:val="§"/>
      <w:lvlJc w:val="left"/>
      <w:pPr>
        <w:ind w:left="6906"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42D2EFA9"/>
    <w:lvl w:ilvl="0" w:tplc="03B6C9FA">
      <w:start w:val="1"/>
      <w:numFmt w:val="decimal"/>
      <w:lvlText w:val="%1."/>
      <w:lvlJc w:val="left"/>
      <w:pPr>
        <w:ind w:left="720" w:hanging="360"/>
      </w:pPr>
    </w:lvl>
    <w:lvl w:ilvl="1" w:tplc="196A7CE6">
      <w:start w:val="1"/>
      <w:numFmt w:val="lowerLetter"/>
      <w:lvlText w:val="%2."/>
      <w:lvlJc w:val="left"/>
      <w:pPr>
        <w:ind w:left="1440" w:hanging="360"/>
      </w:pPr>
    </w:lvl>
    <w:lvl w:ilvl="2" w:tplc="E2A0A57E">
      <w:start w:val="1"/>
      <w:numFmt w:val="lowerRoman"/>
      <w:lvlText w:val="%3."/>
      <w:lvlJc w:val="right"/>
      <w:pPr>
        <w:ind w:left="1980" w:hanging="180"/>
      </w:pPr>
    </w:lvl>
    <w:lvl w:ilvl="3" w:tplc="6430FD3C">
      <w:start w:val="1"/>
      <w:numFmt w:val="decimal"/>
      <w:lvlText w:val="%4."/>
      <w:lvlJc w:val="left"/>
      <w:pPr>
        <w:ind w:left="2880" w:hanging="360"/>
      </w:pPr>
    </w:lvl>
    <w:lvl w:ilvl="4" w:tplc="7916B21E">
      <w:start w:val="1"/>
      <w:numFmt w:val="lowerLetter"/>
      <w:lvlText w:val="%5."/>
      <w:lvlJc w:val="left"/>
      <w:pPr>
        <w:ind w:left="3600" w:hanging="360"/>
      </w:pPr>
    </w:lvl>
    <w:lvl w:ilvl="5" w:tplc="9BA6BA16">
      <w:start w:val="1"/>
      <w:numFmt w:val="lowerRoman"/>
      <w:lvlText w:val="%6."/>
      <w:lvlJc w:val="right"/>
      <w:pPr>
        <w:ind w:left="4140" w:hanging="180"/>
      </w:pPr>
    </w:lvl>
    <w:lvl w:ilvl="6" w:tplc="6EB6BFC8">
      <w:start w:val="1"/>
      <w:numFmt w:val="decimal"/>
      <w:lvlText w:val="%7."/>
      <w:lvlJc w:val="left"/>
      <w:pPr>
        <w:ind w:left="5040" w:hanging="360"/>
      </w:pPr>
    </w:lvl>
    <w:lvl w:ilvl="7" w:tplc="EBC44D06">
      <w:start w:val="1"/>
      <w:numFmt w:val="lowerLetter"/>
      <w:lvlText w:val="%8."/>
      <w:lvlJc w:val="left"/>
      <w:pPr>
        <w:ind w:left="5760" w:hanging="360"/>
      </w:pPr>
    </w:lvl>
    <w:lvl w:ilvl="8" w:tplc="7902C200">
      <w:start w:val="1"/>
      <w:numFmt w:val="lowerRoman"/>
      <w:lvlText w:val="%9."/>
      <w:lvlJc w:val="right"/>
      <w:pPr>
        <w:ind w:left="6300" w:hanging="180"/>
      </w:pPr>
    </w:lvl>
  </w:abstractNum>
  <w:abstractNum w:abstractNumId="5" w15:restartNumberingAfterBreak="0">
    <w:nsid w:val="00000006"/>
    <w:multiLevelType w:val="hybridMultilevel"/>
    <w:tmpl w:val="26746285"/>
    <w:lvl w:ilvl="0" w:tplc="B5D8D476">
      <w:start w:val="1"/>
      <w:numFmt w:val="bullet"/>
      <w:lvlText w:val="·"/>
      <w:lvlJc w:val="left"/>
      <w:pPr>
        <w:ind w:left="1146" w:hanging="360"/>
      </w:pPr>
      <w:rPr>
        <w:rFonts w:ascii="Symbol" w:eastAsia="Symbol" w:hAnsi="Symbol"/>
        <w:w w:val="100"/>
        <w:sz w:val="20"/>
        <w:szCs w:val="20"/>
        <w:shd w:val="clear" w:color="auto" w:fill="auto"/>
      </w:rPr>
    </w:lvl>
    <w:lvl w:ilvl="1" w:tplc="621890E0">
      <w:start w:val="1"/>
      <w:numFmt w:val="bullet"/>
      <w:lvlText w:val="o"/>
      <w:lvlJc w:val="left"/>
      <w:pPr>
        <w:ind w:left="1866" w:hanging="360"/>
      </w:pPr>
      <w:rPr>
        <w:rFonts w:ascii="Courier New" w:eastAsia="Courier New" w:hAnsi="Courier New"/>
        <w:w w:val="100"/>
        <w:sz w:val="20"/>
        <w:szCs w:val="20"/>
        <w:shd w:val="clear" w:color="auto" w:fill="auto"/>
      </w:rPr>
    </w:lvl>
    <w:lvl w:ilvl="2" w:tplc="516C2920">
      <w:start w:val="1"/>
      <w:numFmt w:val="bullet"/>
      <w:lvlText w:val="§"/>
      <w:lvlJc w:val="left"/>
      <w:pPr>
        <w:ind w:left="2586" w:hanging="360"/>
      </w:pPr>
      <w:rPr>
        <w:rFonts w:ascii="Wingdings" w:eastAsia="Wingdings" w:hAnsi="Wingdings"/>
        <w:w w:val="100"/>
        <w:sz w:val="20"/>
        <w:szCs w:val="20"/>
        <w:shd w:val="clear" w:color="auto" w:fill="auto"/>
      </w:rPr>
    </w:lvl>
    <w:lvl w:ilvl="3" w:tplc="13167ECC">
      <w:start w:val="1"/>
      <w:numFmt w:val="bullet"/>
      <w:lvlText w:val="·"/>
      <w:lvlJc w:val="left"/>
      <w:pPr>
        <w:ind w:left="3306" w:hanging="360"/>
      </w:pPr>
      <w:rPr>
        <w:rFonts w:ascii="Symbol" w:eastAsia="Symbol" w:hAnsi="Symbol"/>
        <w:w w:val="100"/>
        <w:sz w:val="20"/>
        <w:szCs w:val="20"/>
        <w:shd w:val="clear" w:color="auto" w:fill="auto"/>
      </w:rPr>
    </w:lvl>
    <w:lvl w:ilvl="4" w:tplc="F1CCA658">
      <w:start w:val="1"/>
      <w:numFmt w:val="bullet"/>
      <w:lvlText w:val="o"/>
      <w:lvlJc w:val="left"/>
      <w:pPr>
        <w:ind w:left="4026" w:hanging="360"/>
      </w:pPr>
      <w:rPr>
        <w:rFonts w:ascii="Courier New" w:eastAsia="Courier New" w:hAnsi="Courier New"/>
        <w:w w:val="100"/>
        <w:sz w:val="20"/>
        <w:szCs w:val="20"/>
        <w:shd w:val="clear" w:color="auto" w:fill="auto"/>
      </w:rPr>
    </w:lvl>
    <w:lvl w:ilvl="5" w:tplc="E5F6A69E">
      <w:start w:val="1"/>
      <w:numFmt w:val="bullet"/>
      <w:lvlText w:val="§"/>
      <w:lvlJc w:val="left"/>
      <w:pPr>
        <w:ind w:left="4746" w:hanging="360"/>
      </w:pPr>
      <w:rPr>
        <w:rFonts w:ascii="Wingdings" w:eastAsia="Wingdings" w:hAnsi="Wingdings"/>
        <w:w w:val="100"/>
        <w:sz w:val="20"/>
        <w:szCs w:val="20"/>
        <w:shd w:val="clear" w:color="auto" w:fill="auto"/>
      </w:rPr>
    </w:lvl>
    <w:lvl w:ilvl="6" w:tplc="7A4AD27A">
      <w:start w:val="1"/>
      <w:numFmt w:val="bullet"/>
      <w:lvlText w:val="·"/>
      <w:lvlJc w:val="left"/>
      <w:pPr>
        <w:ind w:left="5466" w:hanging="360"/>
      </w:pPr>
      <w:rPr>
        <w:rFonts w:ascii="Symbol" w:eastAsia="Symbol" w:hAnsi="Symbol"/>
        <w:w w:val="100"/>
        <w:sz w:val="20"/>
        <w:szCs w:val="20"/>
        <w:shd w:val="clear" w:color="auto" w:fill="auto"/>
      </w:rPr>
    </w:lvl>
    <w:lvl w:ilvl="7" w:tplc="0A1ACED2">
      <w:start w:val="1"/>
      <w:numFmt w:val="bullet"/>
      <w:lvlText w:val="o"/>
      <w:lvlJc w:val="left"/>
      <w:pPr>
        <w:ind w:left="6186" w:hanging="360"/>
      </w:pPr>
      <w:rPr>
        <w:rFonts w:ascii="Courier New" w:eastAsia="Courier New" w:hAnsi="Courier New"/>
        <w:w w:val="100"/>
        <w:sz w:val="20"/>
        <w:szCs w:val="20"/>
        <w:shd w:val="clear" w:color="auto" w:fill="auto"/>
      </w:rPr>
    </w:lvl>
    <w:lvl w:ilvl="8" w:tplc="D386674E">
      <w:start w:val="1"/>
      <w:numFmt w:val="bullet"/>
      <w:lvlText w:val="§"/>
      <w:lvlJc w:val="left"/>
      <w:pPr>
        <w:ind w:left="6906"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3C3E927E"/>
    <w:lvl w:ilvl="0" w:tplc="5E10E42A">
      <w:start w:val="1"/>
      <w:numFmt w:val="bullet"/>
      <w:lvlText w:val="·"/>
      <w:lvlJc w:val="left"/>
      <w:pPr>
        <w:ind w:left="378" w:hanging="360"/>
      </w:pPr>
      <w:rPr>
        <w:rFonts w:ascii="Symbol" w:eastAsia="Symbol" w:hAnsi="Symbol"/>
        <w:w w:val="100"/>
        <w:sz w:val="20"/>
        <w:szCs w:val="20"/>
        <w:shd w:val="clear" w:color="auto" w:fill="auto"/>
      </w:rPr>
    </w:lvl>
    <w:lvl w:ilvl="1" w:tplc="04130001">
      <w:start w:val="1"/>
      <w:numFmt w:val="bullet"/>
      <w:lvlText w:val=""/>
      <w:lvlJc w:val="left"/>
      <w:pPr>
        <w:ind w:left="360" w:hanging="360"/>
      </w:pPr>
      <w:rPr>
        <w:rFonts w:ascii="Symbol" w:hAnsi="Symbol" w:hint="default"/>
        <w:w w:val="100"/>
        <w:sz w:val="20"/>
        <w:szCs w:val="20"/>
        <w:shd w:val="clear" w:color="auto" w:fill="auto"/>
      </w:rPr>
    </w:lvl>
    <w:lvl w:ilvl="2" w:tplc="12A48600">
      <w:start w:val="1"/>
      <w:numFmt w:val="bullet"/>
      <w:lvlText w:val="§"/>
      <w:lvlJc w:val="left"/>
      <w:pPr>
        <w:ind w:left="1818" w:hanging="360"/>
      </w:pPr>
      <w:rPr>
        <w:rFonts w:ascii="Wingdings" w:eastAsia="Wingdings" w:hAnsi="Wingdings"/>
        <w:w w:val="100"/>
        <w:sz w:val="20"/>
        <w:szCs w:val="20"/>
        <w:shd w:val="clear" w:color="auto" w:fill="auto"/>
      </w:rPr>
    </w:lvl>
    <w:lvl w:ilvl="3" w:tplc="330EE598">
      <w:start w:val="1"/>
      <w:numFmt w:val="bullet"/>
      <w:lvlText w:val="·"/>
      <w:lvlJc w:val="left"/>
      <w:pPr>
        <w:ind w:left="2538" w:hanging="360"/>
      </w:pPr>
      <w:rPr>
        <w:rFonts w:ascii="Symbol" w:eastAsia="Symbol" w:hAnsi="Symbol"/>
        <w:w w:val="100"/>
        <w:sz w:val="20"/>
        <w:szCs w:val="20"/>
        <w:shd w:val="clear" w:color="auto" w:fill="auto"/>
      </w:rPr>
    </w:lvl>
    <w:lvl w:ilvl="4" w:tplc="A00EA066">
      <w:start w:val="1"/>
      <w:numFmt w:val="bullet"/>
      <w:lvlText w:val="o"/>
      <w:lvlJc w:val="left"/>
      <w:pPr>
        <w:ind w:left="3258" w:hanging="360"/>
      </w:pPr>
      <w:rPr>
        <w:rFonts w:ascii="Courier New" w:eastAsia="Courier New" w:hAnsi="Courier New"/>
        <w:w w:val="100"/>
        <w:sz w:val="20"/>
        <w:szCs w:val="20"/>
        <w:shd w:val="clear" w:color="auto" w:fill="auto"/>
      </w:rPr>
    </w:lvl>
    <w:lvl w:ilvl="5" w:tplc="0608AA80">
      <w:start w:val="1"/>
      <w:numFmt w:val="bullet"/>
      <w:lvlText w:val="§"/>
      <w:lvlJc w:val="left"/>
      <w:pPr>
        <w:ind w:left="3978" w:hanging="360"/>
      </w:pPr>
      <w:rPr>
        <w:rFonts w:ascii="Wingdings" w:eastAsia="Wingdings" w:hAnsi="Wingdings"/>
        <w:w w:val="100"/>
        <w:sz w:val="20"/>
        <w:szCs w:val="20"/>
        <w:shd w:val="clear" w:color="auto" w:fill="auto"/>
      </w:rPr>
    </w:lvl>
    <w:lvl w:ilvl="6" w:tplc="6B1C6AD2">
      <w:start w:val="1"/>
      <w:numFmt w:val="bullet"/>
      <w:lvlText w:val="·"/>
      <w:lvlJc w:val="left"/>
      <w:pPr>
        <w:ind w:left="4698" w:hanging="360"/>
      </w:pPr>
      <w:rPr>
        <w:rFonts w:ascii="Symbol" w:eastAsia="Symbol" w:hAnsi="Symbol"/>
        <w:w w:val="100"/>
        <w:sz w:val="20"/>
        <w:szCs w:val="20"/>
        <w:shd w:val="clear" w:color="auto" w:fill="auto"/>
      </w:rPr>
    </w:lvl>
    <w:lvl w:ilvl="7" w:tplc="7F08C0F2">
      <w:start w:val="1"/>
      <w:numFmt w:val="bullet"/>
      <w:lvlText w:val="o"/>
      <w:lvlJc w:val="left"/>
      <w:pPr>
        <w:ind w:left="5418" w:hanging="360"/>
      </w:pPr>
      <w:rPr>
        <w:rFonts w:ascii="Courier New" w:eastAsia="Courier New" w:hAnsi="Courier New"/>
        <w:w w:val="100"/>
        <w:sz w:val="20"/>
        <w:szCs w:val="20"/>
        <w:shd w:val="clear" w:color="auto" w:fill="auto"/>
      </w:rPr>
    </w:lvl>
    <w:lvl w:ilvl="8" w:tplc="77A0A558">
      <w:start w:val="1"/>
      <w:numFmt w:val="bullet"/>
      <w:lvlText w:val="§"/>
      <w:lvlJc w:val="left"/>
      <w:pPr>
        <w:ind w:left="6138"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421FC9CF"/>
    <w:lvl w:ilvl="0" w:tplc="AC107904">
      <w:start w:val="1"/>
      <w:numFmt w:val="bullet"/>
      <w:lvlText w:val="·"/>
      <w:lvlJc w:val="left"/>
      <w:pPr>
        <w:ind w:left="720" w:hanging="360"/>
      </w:pPr>
      <w:rPr>
        <w:rFonts w:ascii="Symbol" w:eastAsia="Symbol" w:hAnsi="Symbol"/>
        <w:w w:val="100"/>
        <w:sz w:val="20"/>
        <w:szCs w:val="20"/>
        <w:shd w:val="clear" w:color="auto" w:fill="auto"/>
      </w:rPr>
    </w:lvl>
    <w:lvl w:ilvl="1" w:tplc="FDC4CF3C">
      <w:start w:val="1"/>
      <w:numFmt w:val="bullet"/>
      <w:lvlText w:val="o"/>
      <w:lvlJc w:val="left"/>
      <w:pPr>
        <w:ind w:left="786" w:hanging="360"/>
      </w:pPr>
      <w:rPr>
        <w:rFonts w:ascii="Courier New" w:eastAsia="Courier New" w:hAnsi="Courier New"/>
        <w:w w:val="100"/>
        <w:sz w:val="20"/>
        <w:szCs w:val="20"/>
        <w:shd w:val="clear" w:color="auto" w:fill="auto"/>
      </w:rPr>
    </w:lvl>
    <w:lvl w:ilvl="2" w:tplc="DFFEA3C4">
      <w:start w:val="1"/>
      <w:numFmt w:val="bullet"/>
      <w:lvlText w:val="§"/>
      <w:lvlJc w:val="left"/>
      <w:pPr>
        <w:ind w:left="2160" w:hanging="360"/>
      </w:pPr>
      <w:rPr>
        <w:rFonts w:ascii="Wingdings" w:eastAsia="Wingdings" w:hAnsi="Wingdings"/>
        <w:w w:val="100"/>
        <w:sz w:val="20"/>
        <w:szCs w:val="20"/>
        <w:shd w:val="clear" w:color="auto" w:fill="auto"/>
      </w:rPr>
    </w:lvl>
    <w:lvl w:ilvl="3" w:tplc="FE522D42">
      <w:start w:val="1"/>
      <w:numFmt w:val="bullet"/>
      <w:lvlText w:val="·"/>
      <w:lvlJc w:val="left"/>
      <w:pPr>
        <w:ind w:left="2880" w:hanging="360"/>
      </w:pPr>
      <w:rPr>
        <w:rFonts w:ascii="Symbol" w:eastAsia="Symbol" w:hAnsi="Symbol"/>
        <w:w w:val="100"/>
        <w:sz w:val="20"/>
        <w:szCs w:val="20"/>
        <w:shd w:val="clear" w:color="auto" w:fill="auto"/>
      </w:rPr>
    </w:lvl>
    <w:lvl w:ilvl="4" w:tplc="BD24B1C0">
      <w:start w:val="1"/>
      <w:numFmt w:val="bullet"/>
      <w:lvlText w:val="o"/>
      <w:lvlJc w:val="left"/>
      <w:pPr>
        <w:ind w:left="3600" w:hanging="360"/>
      </w:pPr>
      <w:rPr>
        <w:rFonts w:ascii="Courier New" w:eastAsia="Courier New" w:hAnsi="Courier New"/>
        <w:w w:val="100"/>
        <w:sz w:val="20"/>
        <w:szCs w:val="20"/>
        <w:shd w:val="clear" w:color="auto" w:fill="auto"/>
      </w:rPr>
    </w:lvl>
    <w:lvl w:ilvl="5" w:tplc="7F80CE7E">
      <w:start w:val="1"/>
      <w:numFmt w:val="bullet"/>
      <w:lvlText w:val="§"/>
      <w:lvlJc w:val="left"/>
      <w:pPr>
        <w:ind w:left="4320" w:hanging="360"/>
      </w:pPr>
      <w:rPr>
        <w:rFonts w:ascii="Wingdings" w:eastAsia="Wingdings" w:hAnsi="Wingdings"/>
        <w:w w:val="100"/>
        <w:sz w:val="20"/>
        <w:szCs w:val="20"/>
        <w:shd w:val="clear" w:color="auto" w:fill="auto"/>
      </w:rPr>
    </w:lvl>
    <w:lvl w:ilvl="6" w:tplc="5BA418E6">
      <w:start w:val="1"/>
      <w:numFmt w:val="bullet"/>
      <w:lvlText w:val="·"/>
      <w:lvlJc w:val="left"/>
      <w:pPr>
        <w:ind w:left="5040" w:hanging="360"/>
      </w:pPr>
      <w:rPr>
        <w:rFonts w:ascii="Symbol" w:eastAsia="Symbol" w:hAnsi="Symbol"/>
        <w:w w:val="100"/>
        <w:sz w:val="20"/>
        <w:szCs w:val="20"/>
        <w:shd w:val="clear" w:color="auto" w:fill="auto"/>
      </w:rPr>
    </w:lvl>
    <w:lvl w:ilvl="7" w:tplc="86F28C50">
      <w:start w:val="1"/>
      <w:numFmt w:val="bullet"/>
      <w:lvlText w:val="o"/>
      <w:lvlJc w:val="left"/>
      <w:pPr>
        <w:ind w:left="5760" w:hanging="360"/>
      </w:pPr>
      <w:rPr>
        <w:rFonts w:ascii="Courier New" w:eastAsia="Courier New" w:hAnsi="Courier New"/>
        <w:w w:val="100"/>
        <w:sz w:val="20"/>
        <w:szCs w:val="20"/>
        <w:shd w:val="clear" w:color="auto" w:fill="auto"/>
      </w:rPr>
    </w:lvl>
    <w:lvl w:ilvl="8" w:tplc="66A8CC8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8" w15:restartNumberingAfterBreak="0">
    <w:nsid w:val="00000009"/>
    <w:multiLevelType w:val="hybridMultilevel"/>
    <w:tmpl w:val="34FA56F3"/>
    <w:lvl w:ilvl="0" w:tplc="41B66EE4">
      <w:start w:val="1"/>
      <w:numFmt w:val="bullet"/>
      <w:lvlText w:val="·"/>
      <w:lvlJc w:val="left"/>
      <w:pPr>
        <w:ind w:left="1080" w:hanging="360"/>
      </w:pPr>
      <w:rPr>
        <w:rFonts w:ascii="Symbol" w:eastAsia="Symbol" w:hAnsi="Symbol"/>
        <w:w w:val="100"/>
        <w:sz w:val="20"/>
        <w:szCs w:val="20"/>
        <w:shd w:val="clear" w:color="auto" w:fill="auto"/>
      </w:rPr>
    </w:lvl>
    <w:lvl w:ilvl="1" w:tplc="883284F8">
      <w:start w:val="1"/>
      <w:numFmt w:val="bullet"/>
      <w:lvlText w:val="o"/>
      <w:lvlJc w:val="left"/>
      <w:pPr>
        <w:ind w:left="1800" w:hanging="360"/>
      </w:pPr>
      <w:rPr>
        <w:rFonts w:ascii="Courier New" w:eastAsia="Courier New" w:hAnsi="Courier New"/>
        <w:w w:val="100"/>
        <w:sz w:val="20"/>
        <w:szCs w:val="20"/>
        <w:shd w:val="clear" w:color="auto" w:fill="auto"/>
      </w:rPr>
    </w:lvl>
    <w:lvl w:ilvl="2" w:tplc="BE22B95E">
      <w:start w:val="1"/>
      <w:numFmt w:val="bullet"/>
      <w:lvlText w:val="§"/>
      <w:lvlJc w:val="left"/>
      <w:pPr>
        <w:ind w:left="2520" w:hanging="360"/>
      </w:pPr>
      <w:rPr>
        <w:rFonts w:ascii="Wingdings" w:eastAsia="Wingdings" w:hAnsi="Wingdings"/>
        <w:w w:val="100"/>
        <w:sz w:val="20"/>
        <w:szCs w:val="20"/>
        <w:shd w:val="clear" w:color="auto" w:fill="auto"/>
      </w:rPr>
    </w:lvl>
    <w:lvl w:ilvl="3" w:tplc="C22A4F70">
      <w:start w:val="1"/>
      <w:numFmt w:val="bullet"/>
      <w:lvlText w:val="·"/>
      <w:lvlJc w:val="left"/>
      <w:pPr>
        <w:ind w:left="3240" w:hanging="360"/>
      </w:pPr>
      <w:rPr>
        <w:rFonts w:ascii="Symbol" w:eastAsia="Symbol" w:hAnsi="Symbol"/>
        <w:w w:val="100"/>
        <w:sz w:val="20"/>
        <w:szCs w:val="20"/>
        <w:shd w:val="clear" w:color="auto" w:fill="auto"/>
      </w:rPr>
    </w:lvl>
    <w:lvl w:ilvl="4" w:tplc="0C080216">
      <w:start w:val="1"/>
      <w:numFmt w:val="bullet"/>
      <w:lvlText w:val="o"/>
      <w:lvlJc w:val="left"/>
      <w:pPr>
        <w:ind w:left="3960" w:hanging="360"/>
      </w:pPr>
      <w:rPr>
        <w:rFonts w:ascii="Courier New" w:eastAsia="Courier New" w:hAnsi="Courier New"/>
        <w:w w:val="100"/>
        <w:sz w:val="20"/>
        <w:szCs w:val="20"/>
        <w:shd w:val="clear" w:color="auto" w:fill="auto"/>
      </w:rPr>
    </w:lvl>
    <w:lvl w:ilvl="5" w:tplc="76EEEB46">
      <w:start w:val="1"/>
      <w:numFmt w:val="bullet"/>
      <w:lvlText w:val="§"/>
      <w:lvlJc w:val="left"/>
      <w:pPr>
        <w:ind w:left="4680" w:hanging="360"/>
      </w:pPr>
      <w:rPr>
        <w:rFonts w:ascii="Wingdings" w:eastAsia="Wingdings" w:hAnsi="Wingdings"/>
        <w:w w:val="100"/>
        <w:sz w:val="20"/>
        <w:szCs w:val="20"/>
        <w:shd w:val="clear" w:color="auto" w:fill="auto"/>
      </w:rPr>
    </w:lvl>
    <w:lvl w:ilvl="6" w:tplc="7CE034D6">
      <w:start w:val="1"/>
      <w:numFmt w:val="bullet"/>
      <w:lvlText w:val="·"/>
      <w:lvlJc w:val="left"/>
      <w:pPr>
        <w:ind w:left="5400" w:hanging="360"/>
      </w:pPr>
      <w:rPr>
        <w:rFonts w:ascii="Symbol" w:eastAsia="Symbol" w:hAnsi="Symbol"/>
        <w:w w:val="100"/>
        <w:sz w:val="20"/>
        <w:szCs w:val="20"/>
        <w:shd w:val="clear" w:color="auto" w:fill="auto"/>
      </w:rPr>
    </w:lvl>
    <w:lvl w:ilvl="7" w:tplc="7C58E12C">
      <w:start w:val="1"/>
      <w:numFmt w:val="bullet"/>
      <w:lvlText w:val="o"/>
      <w:lvlJc w:val="left"/>
      <w:pPr>
        <w:ind w:left="6120" w:hanging="360"/>
      </w:pPr>
      <w:rPr>
        <w:rFonts w:ascii="Courier New" w:eastAsia="Courier New" w:hAnsi="Courier New"/>
        <w:w w:val="100"/>
        <w:sz w:val="20"/>
        <w:szCs w:val="20"/>
        <w:shd w:val="clear" w:color="auto" w:fill="auto"/>
      </w:rPr>
    </w:lvl>
    <w:lvl w:ilvl="8" w:tplc="DE26E36E">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1F6286B1"/>
    <w:lvl w:ilvl="0" w:tplc="08144226">
      <w:start w:val="1"/>
      <w:numFmt w:val="bullet"/>
      <w:lvlText w:val="·"/>
      <w:lvlJc w:val="left"/>
      <w:pPr>
        <w:ind w:left="720" w:hanging="360"/>
      </w:pPr>
      <w:rPr>
        <w:rFonts w:ascii="Symbol" w:eastAsia="Symbol" w:hAnsi="Symbol"/>
        <w:w w:val="100"/>
        <w:sz w:val="20"/>
        <w:szCs w:val="20"/>
        <w:shd w:val="clear" w:color="auto" w:fill="auto"/>
      </w:rPr>
    </w:lvl>
    <w:lvl w:ilvl="1" w:tplc="281C071C">
      <w:start w:val="1"/>
      <w:numFmt w:val="bullet"/>
      <w:lvlText w:val="o"/>
      <w:lvlJc w:val="left"/>
      <w:pPr>
        <w:ind w:left="1440" w:hanging="360"/>
      </w:pPr>
      <w:rPr>
        <w:rFonts w:ascii="Courier New" w:eastAsia="Courier New" w:hAnsi="Courier New"/>
        <w:w w:val="100"/>
        <w:sz w:val="20"/>
        <w:szCs w:val="20"/>
        <w:shd w:val="clear" w:color="auto" w:fill="auto"/>
      </w:rPr>
    </w:lvl>
    <w:lvl w:ilvl="2" w:tplc="011A893A">
      <w:numFmt w:val="bullet"/>
      <w:lvlText w:val="-"/>
      <w:lvlJc w:val="left"/>
      <w:pPr>
        <w:ind w:left="2160" w:hanging="360"/>
      </w:pPr>
      <w:rPr>
        <w:rFonts w:ascii="Verdana" w:eastAsia="Verdana" w:hAnsi="Verdana"/>
        <w:w w:val="100"/>
        <w:sz w:val="20"/>
        <w:szCs w:val="20"/>
        <w:shd w:val="clear" w:color="auto" w:fill="auto"/>
      </w:rPr>
    </w:lvl>
    <w:lvl w:ilvl="3" w:tplc="ED70A922">
      <w:start w:val="1"/>
      <w:numFmt w:val="bullet"/>
      <w:lvlText w:val="·"/>
      <w:lvlJc w:val="left"/>
      <w:pPr>
        <w:ind w:left="2880" w:hanging="360"/>
      </w:pPr>
      <w:rPr>
        <w:rFonts w:ascii="Symbol" w:eastAsia="Symbol" w:hAnsi="Symbol"/>
        <w:w w:val="100"/>
        <w:sz w:val="20"/>
        <w:szCs w:val="20"/>
        <w:shd w:val="clear" w:color="auto" w:fill="auto"/>
      </w:rPr>
    </w:lvl>
    <w:lvl w:ilvl="4" w:tplc="F0AED4E0">
      <w:start w:val="1"/>
      <w:numFmt w:val="bullet"/>
      <w:lvlText w:val="o"/>
      <w:lvlJc w:val="left"/>
      <w:pPr>
        <w:ind w:left="3600" w:hanging="360"/>
      </w:pPr>
      <w:rPr>
        <w:rFonts w:ascii="Courier New" w:eastAsia="Courier New" w:hAnsi="Courier New"/>
        <w:w w:val="100"/>
        <w:sz w:val="20"/>
        <w:szCs w:val="20"/>
        <w:shd w:val="clear" w:color="auto" w:fill="auto"/>
      </w:rPr>
    </w:lvl>
    <w:lvl w:ilvl="5" w:tplc="39026692">
      <w:start w:val="1"/>
      <w:numFmt w:val="bullet"/>
      <w:lvlText w:val="§"/>
      <w:lvlJc w:val="left"/>
      <w:pPr>
        <w:ind w:left="4320" w:hanging="360"/>
      </w:pPr>
      <w:rPr>
        <w:rFonts w:ascii="Wingdings" w:eastAsia="Wingdings" w:hAnsi="Wingdings"/>
        <w:w w:val="100"/>
        <w:sz w:val="20"/>
        <w:szCs w:val="20"/>
        <w:shd w:val="clear" w:color="auto" w:fill="auto"/>
      </w:rPr>
    </w:lvl>
    <w:lvl w:ilvl="6" w:tplc="7A10236C">
      <w:start w:val="1"/>
      <w:numFmt w:val="bullet"/>
      <w:lvlText w:val="·"/>
      <w:lvlJc w:val="left"/>
      <w:pPr>
        <w:ind w:left="5040" w:hanging="360"/>
      </w:pPr>
      <w:rPr>
        <w:rFonts w:ascii="Symbol" w:eastAsia="Symbol" w:hAnsi="Symbol"/>
        <w:w w:val="100"/>
        <w:sz w:val="20"/>
        <w:szCs w:val="20"/>
        <w:shd w:val="clear" w:color="auto" w:fill="auto"/>
      </w:rPr>
    </w:lvl>
    <w:lvl w:ilvl="7" w:tplc="499AFF30">
      <w:start w:val="1"/>
      <w:numFmt w:val="bullet"/>
      <w:lvlText w:val="o"/>
      <w:lvlJc w:val="left"/>
      <w:pPr>
        <w:ind w:left="5760" w:hanging="360"/>
      </w:pPr>
      <w:rPr>
        <w:rFonts w:ascii="Courier New" w:eastAsia="Courier New" w:hAnsi="Courier New"/>
        <w:w w:val="100"/>
        <w:sz w:val="20"/>
        <w:szCs w:val="20"/>
        <w:shd w:val="clear" w:color="auto" w:fill="auto"/>
      </w:rPr>
    </w:lvl>
    <w:lvl w:ilvl="8" w:tplc="8646CAB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7D78DE8F"/>
    <w:lvl w:ilvl="0" w:tplc="E3667504">
      <w:start w:val="1"/>
      <w:numFmt w:val="bullet"/>
      <w:lvlText w:val="·"/>
      <w:lvlJc w:val="left"/>
      <w:pPr>
        <w:ind w:left="720" w:hanging="360"/>
      </w:pPr>
      <w:rPr>
        <w:rFonts w:ascii="Symbol" w:eastAsia="Symbol" w:hAnsi="Symbol"/>
        <w:w w:val="100"/>
        <w:sz w:val="20"/>
        <w:szCs w:val="20"/>
        <w:shd w:val="clear" w:color="auto" w:fill="auto"/>
      </w:rPr>
    </w:lvl>
    <w:lvl w:ilvl="1" w:tplc="A1AA92A0">
      <w:start w:val="1"/>
      <w:numFmt w:val="bullet"/>
      <w:lvlText w:val="o"/>
      <w:lvlJc w:val="left"/>
      <w:pPr>
        <w:ind w:left="1440" w:hanging="360"/>
      </w:pPr>
      <w:rPr>
        <w:rFonts w:ascii="Courier New" w:eastAsia="Courier New" w:hAnsi="Courier New"/>
        <w:w w:val="100"/>
        <w:sz w:val="20"/>
        <w:szCs w:val="20"/>
        <w:shd w:val="clear" w:color="auto" w:fill="auto"/>
      </w:rPr>
    </w:lvl>
    <w:lvl w:ilvl="2" w:tplc="76D8B0A6">
      <w:start w:val="1"/>
      <w:numFmt w:val="bullet"/>
      <w:lvlText w:val="§"/>
      <w:lvlJc w:val="left"/>
      <w:pPr>
        <w:ind w:left="2160" w:hanging="360"/>
      </w:pPr>
      <w:rPr>
        <w:rFonts w:ascii="Wingdings" w:eastAsia="Wingdings" w:hAnsi="Wingdings"/>
        <w:w w:val="100"/>
        <w:sz w:val="20"/>
        <w:szCs w:val="20"/>
        <w:shd w:val="clear" w:color="auto" w:fill="auto"/>
      </w:rPr>
    </w:lvl>
    <w:lvl w:ilvl="3" w:tplc="3D8A45E8">
      <w:start w:val="1"/>
      <w:numFmt w:val="bullet"/>
      <w:lvlText w:val="·"/>
      <w:lvlJc w:val="left"/>
      <w:pPr>
        <w:ind w:left="2880" w:hanging="360"/>
      </w:pPr>
      <w:rPr>
        <w:rFonts w:ascii="Symbol" w:eastAsia="Symbol" w:hAnsi="Symbol"/>
        <w:w w:val="100"/>
        <w:sz w:val="20"/>
        <w:szCs w:val="20"/>
        <w:shd w:val="clear" w:color="auto" w:fill="auto"/>
      </w:rPr>
    </w:lvl>
    <w:lvl w:ilvl="4" w:tplc="6A6E7F36">
      <w:start w:val="1"/>
      <w:numFmt w:val="bullet"/>
      <w:lvlText w:val="o"/>
      <w:lvlJc w:val="left"/>
      <w:pPr>
        <w:ind w:left="3600" w:hanging="360"/>
      </w:pPr>
      <w:rPr>
        <w:rFonts w:ascii="Courier New" w:eastAsia="Courier New" w:hAnsi="Courier New"/>
        <w:w w:val="100"/>
        <w:sz w:val="20"/>
        <w:szCs w:val="20"/>
        <w:shd w:val="clear" w:color="auto" w:fill="auto"/>
      </w:rPr>
    </w:lvl>
    <w:lvl w:ilvl="5" w:tplc="E0F828D0">
      <w:start w:val="1"/>
      <w:numFmt w:val="bullet"/>
      <w:lvlText w:val="§"/>
      <w:lvlJc w:val="left"/>
      <w:pPr>
        <w:ind w:left="4320" w:hanging="360"/>
      </w:pPr>
      <w:rPr>
        <w:rFonts w:ascii="Wingdings" w:eastAsia="Wingdings" w:hAnsi="Wingdings"/>
        <w:w w:val="100"/>
        <w:sz w:val="20"/>
        <w:szCs w:val="20"/>
        <w:shd w:val="clear" w:color="auto" w:fill="auto"/>
      </w:rPr>
    </w:lvl>
    <w:lvl w:ilvl="6" w:tplc="2F60DB42">
      <w:start w:val="1"/>
      <w:numFmt w:val="bullet"/>
      <w:lvlText w:val="·"/>
      <w:lvlJc w:val="left"/>
      <w:pPr>
        <w:ind w:left="5040" w:hanging="360"/>
      </w:pPr>
      <w:rPr>
        <w:rFonts w:ascii="Symbol" w:eastAsia="Symbol" w:hAnsi="Symbol"/>
        <w:w w:val="100"/>
        <w:sz w:val="20"/>
        <w:szCs w:val="20"/>
        <w:shd w:val="clear" w:color="auto" w:fill="auto"/>
      </w:rPr>
    </w:lvl>
    <w:lvl w:ilvl="7" w:tplc="F5403220">
      <w:start w:val="1"/>
      <w:numFmt w:val="bullet"/>
      <w:lvlText w:val="o"/>
      <w:lvlJc w:val="left"/>
      <w:pPr>
        <w:ind w:left="5760" w:hanging="360"/>
      </w:pPr>
      <w:rPr>
        <w:rFonts w:ascii="Courier New" w:eastAsia="Courier New" w:hAnsi="Courier New"/>
        <w:w w:val="100"/>
        <w:sz w:val="20"/>
        <w:szCs w:val="20"/>
        <w:shd w:val="clear" w:color="auto" w:fill="auto"/>
      </w:rPr>
    </w:lvl>
    <w:lvl w:ilvl="8" w:tplc="850C86A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1" w15:restartNumberingAfterBreak="0">
    <w:nsid w:val="0000000C"/>
    <w:multiLevelType w:val="hybridMultilevel"/>
    <w:tmpl w:val="0A5BBEA4"/>
    <w:lvl w:ilvl="0" w:tplc="E3A6EB5A">
      <w:start w:val="1"/>
      <w:numFmt w:val="bullet"/>
      <w:lvlText w:val="·"/>
      <w:lvlJc w:val="left"/>
      <w:pPr>
        <w:ind w:left="360" w:hanging="360"/>
      </w:pPr>
      <w:rPr>
        <w:rFonts w:ascii="Symbol" w:eastAsia="Symbol" w:hAnsi="Symbol"/>
        <w:w w:val="100"/>
        <w:sz w:val="20"/>
        <w:szCs w:val="20"/>
        <w:shd w:val="clear" w:color="auto" w:fill="auto"/>
      </w:rPr>
    </w:lvl>
    <w:lvl w:ilvl="1" w:tplc="8BB2BA22">
      <w:start w:val="1"/>
      <w:numFmt w:val="bullet"/>
      <w:lvlText w:val="o"/>
      <w:lvlJc w:val="left"/>
      <w:pPr>
        <w:ind w:left="1080" w:hanging="360"/>
      </w:pPr>
      <w:rPr>
        <w:rFonts w:ascii="Courier New" w:eastAsia="Courier New" w:hAnsi="Courier New"/>
        <w:w w:val="100"/>
        <w:sz w:val="20"/>
        <w:szCs w:val="20"/>
        <w:shd w:val="clear" w:color="auto" w:fill="auto"/>
      </w:rPr>
    </w:lvl>
    <w:lvl w:ilvl="2" w:tplc="4D6A327E">
      <w:start w:val="1"/>
      <w:numFmt w:val="bullet"/>
      <w:lvlText w:val="§"/>
      <w:lvlJc w:val="left"/>
      <w:pPr>
        <w:ind w:left="1800" w:hanging="360"/>
      </w:pPr>
      <w:rPr>
        <w:rFonts w:ascii="Wingdings" w:eastAsia="Wingdings" w:hAnsi="Wingdings"/>
        <w:w w:val="100"/>
        <w:sz w:val="20"/>
        <w:szCs w:val="20"/>
        <w:shd w:val="clear" w:color="auto" w:fill="auto"/>
      </w:rPr>
    </w:lvl>
    <w:lvl w:ilvl="3" w:tplc="91C4839C">
      <w:start w:val="1"/>
      <w:numFmt w:val="bullet"/>
      <w:lvlText w:val="·"/>
      <w:lvlJc w:val="left"/>
      <w:pPr>
        <w:ind w:left="2520" w:hanging="360"/>
      </w:pPr>
      <w:rPr>
        <w:rFonts w:ascii="Symbol" w:eastAsia="Symbol" w:hAnsi="Symbol"/>
        <w:w w:val="100"/>
        <w:sz w:val="20"/>
        <w:szCs w:val="20"/>
        <w:shd w:val="clear" w:color="auto" w:fill="auto"/>
      </w:rPr>
    </w:lvl>
    <w:lvl w:ilvl="4" w:tplc="A0206A44">
      <w:start w:val="1"/>
      <w:numFmt w:val="bullet"/>
      <w:lvlText w:val="o"/>
      <w:lvlJc w:val="left"/>
      <w:pPr>
        <w:ind w:left="3240" w:hanging="360"/>
      </w:pPr>
      <w:rPr>
        <w:rFonts w:ascii="Courier New" w:eastAsia="Courier New" w:hAnsi="Courier New"/>
        <w:w w:val="100"/>
        <w:sz w:val="20"/>
        <w:szCs w:val="20"/>
        <w:shd w:val="clear" w:color="auto" w:fill="auto"/>
      </w:rPr>
    </w:lvl>
    <w:lvl w:ilvl="5" w:tplc="1F78AF80">
      <w:start w:val="1"/>
      <w:numFmt w:val="bullet"/>
      <w:lvlText w:val="§"/>
      <w:lvlJc w:val="left"/>
      <w:pPr>
        <w:ind w:left="3960" w:hanging="360"/>
      </w:pPr>
      <w:rPr>
        <w:rFonts w:ascii="Wingdings" w:eastAsia="Wingdings" w:hAnsi="Wingdings"/>
        <w:w w:val="100"/>
        <w:sz w:val="20"/>
        <w:szCs w:val="20"/>
        <w:shd w:val="clear" w:color="auto" w:fill="auto"/>
      </w:rPr>
    </w:lvl>
    <w:lvl w:ilvl="6" w:tplc="61240BBA">
      <w:start w:val="1"/>
      <w:numFmt w:val="bullet"/>
      <w:lvlText w:val="·"/>
      <w:lvlJc w:val="left"/>
      <w:pPr>
        <w:ind w:left="4680" w:hanging="360"/>
      </w:pPr>
      <w:rPr>
        <w:rFonts w:ascii="Symbol" w:eastAsia="Symbol" w:hAnsi="Symbol"/>
        <w:w w:val="100"/>
        <w:sz w:val="20"/>
        <w:szCs w:val="20"/>
        <w:shd w:val="clear" w:color="auto" w:fill="auto"/>
      </w:rPr>
    </w:lvl>
    <w:lvl w:ilvl="7" w:tplc="43466662">
      <w:start w:val="1"/>
      <w:numFmt w:val="bullet"/>
      <w:lvlText w:val="o"/>
      <w:lvlJc w:val="left"/>
      <w:pPr>
        <w:ind w:left="5400" w:hanging="360"/>
      </w:pPr>
      <w:rPr>
        <w:rFonts w:ascii="Courier New" w:eastAsia="Courier New" w:hAnsi="Courier New"/>
        <w:w w:val="100"/>
        <w:sz w:val="20"/>
        <w:szCs w:val="20"/>
        <w:shd w:val="clear" w:color="auto" w:fill="auto"/>
      </w:rPr>
    </w:lvl>
    <w:lvl w:ilvl="8" w:tplc="5BFEB47C">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12" w15:restartNumberingAfterBreak="0">
    <w:nsid w:val="0000000D"/>
    <w:multiLevelType w:val="hybridMultilevel"/>
    <w:tmpl w:val="0D41064C"/>
    <w:lvl w:ilvl="0" w:tplc="580E81C8">
      <w:start w:val="1"/>
      <w:numFmt w:val="bullet"/>
      <w:lvlText w:val="·"/>
      <w:lvlJc w:val="left"/>
      <w:pPr>
        <w:ind w:left="1146" w:hanging="360"/>
      </w:pPr>
      <w:rPr>
        <w:rFonts w:ascii="Symbol" w:eastAsia="Symbol" w:hAnsi="Symbol"/>
        <w:w w:val="100"/>
        <w:sz w:val="20"/>
        <w:szCs w:val="20"/>
        <w:shd w:val="clear" w:color="auto" w:fill="auto"/>
      </w:rPr>
    </w:lvl>
    <w:lvl w:ilvl="1" w:tplc="5644DC2E">
      <w:start w:val="1"/>
      <w:numFmt w:val="bullet"/>
      <w:lvlText w:val="o"/>
      <w:lvlJc w:val="left"/>
      <w:pPr>
        <w:ind w:left="1866" w:hanging="360"/>
      </w:pPr>
      <w:rPr>
        <w:rFonts w:ascii="Courier New" w:eastAsia="Courier New" w:hAnsi="Courier New"/>
        <w:w w:val="100"/>
        <w:sz w:val="20"/>
        <w:szCs w:val="20"/>
        <w:shd w:val="clear" w:color="auto" w:fill="auto"/>
      </w:rPr>
    </w:lvl>
    <w:lvl w:ilvl="2" w:tplc="4DC2745E">
      <w:start w:val="1"/>
      <w:numFmt w:val="bullet"/>
      <w:lvlText w:val="§"/>
      <w:lvlJc w:val="left"/>
      <w:pPr>
        <w:ind w:left="2586" w:hanging="360"/>
      </w:pPr>
      <w:rPr>
        <w:rFonts w:ascii="Wingdings" w:eastAsia="Wingdings" w:hAnsi="Wingdings"/>
        <w:w w:val="100"/>
        <w:sz w:val="20"/>
        <w:szCs w:val="20"/>
        <w:shd w:val="clear" w:color="auto" w:fill="auto"/>
      </w:rPr>
    </w:lvl>
    <w:lvl w:ilvl="3" w:tplc="B01A7D26">
      <w:start w:val="1"/>
      <w:numFmt w:val="bullet"/>
      <w:lvlText w:val="·"/>
      <w:lvlJc w:val="left"/>
      <w:pPr>
        <w:ind w:left="3306" w:hanging="360"/>
      </w:pPr>
      <w:rPr>
        <w:rFonts w:ascii="Symbol" w:eastAsia="Symbol" w:hAnsi="Symbol"/>
        <w:w w:val="100"/>
        <w:sz w:val="20"/>
        <w:szCs w:val="20"/>
        <w:shd w:val="clear" w:color="auto" w:fill="auto"/>
      </w:rPr>
    </w:lvl>
    <w:lvl w:ilvl="4" w:tplc="A706FF1A">
      <w:start w:val="1"/>
      <w:numFmt w:val="bullet"/>
      <w:lvlText w:val="o"/>
      <w:lvlJc w:val="left"/>
      <w:pPr>
        <w:ind w:left="4026" w:hanging="360"/>
      </w:pPr>
      <w:rPr>
        <w:rFonts w:ascii="Courier New" w:eastAsia="Courier New" w:hAnsi="Courier New"/>
        <w:w w:val="100"/>
        <w:sz w:val="20"/>
        <w:szCs w:val="20"/>
        <w:shd w:val="clear" w:color="auto" w:fill="auto"/>
      </w:rPr>
    </w:lvl>
    <w:lvl w:ilvl="5" w:tplc="11D6C1C2">
      <w:start w:val="1"/>
      <w:numFmt w:val="bullet"/>
      <w:lvlText w:val="§"/>
      <w:lvlJc w:val="left"/>
      <w:pPr>
        <w:ind w:left="4746" w:hanging="360"/>
      </w:pPr>
      <w:rPr>
        <w:rFonts w:ascii="Wingdings" w:eastAsia="Wingdings" w:hAnsi="Wingdings"/>
        <w:w w:val="100"/>
        <w:sz w:val="20"/>
        <w:szCs w:val="20"/>
        <w:shd w:val="clear" w:color="auto" w:fill="auto"/>
      </w:rPr>
    </w:lvl>
    <w:lvl w:ilvl="6" w:tplc="BF7ED456">
      <w:start w:val="1"/>
      <w:numFmt w:val="bullet"/>
      <w:lvlText w:val="·"/>
      <w:lvlJc w:val="left"/>
      <w:pPr>
        <w:ind w:left="5466" w:hanging="360"/>
      </w:pPr>
      <w:rPr>
        <w:rFonts w:ascii="Symbol" w:eastAsia="Symbol" w:hAnsi="Symbol"/>
        <w:w w:val="100"/>
        <w:sz w:val="20"/>
        <w:szCs w:val="20"/>
        <w:shd w:val="clear" w:color="auto" w:fill="auto"/>
      </w:rPr>
    </w:lvl>
    <w:lvl w:ilvl="7" w:tplc="A33A6940">
      <w:start w:val="1"/>
      <w:numFmt w:val="bullet"/>
      <w:lvlText w:val="o"/>
      <w:lvlJc w:val="left"/>
      <w:pPr>
        <w:ind w:left="6186" w:hanging="360"/>
      </w:pPr>
      <w:rPr>
        <w:rFonts w:ascii="Courier New" w:eastAsia="Courier New" w:hAnsi="Courier New"/>
        <w:w w:val="100"/>
        <w:sz w:val="20"/>
        <w:szCs w:val="20"/>
        <w:shd w:val="clear" w:color="auto" w:fill="auto"/>
      </w:rPr>
    </w:lvl>
    <w:lvl w:ilvl="8" w:tplc="38B60B14">
      <w:start w:val="1"/>
      <w:numFmt w:val="bullet"/>
      <w:lvlText w:val="§"/>
      <w:lvlJc w:val="left"/>
      <w:pPr>
        <w:ind w:left="6906" w:hanging="360"/>
      </w:pPr>
      <w:rPr>
        <w:rFonts w:ascii="Wingdings" w:eastAsia="Wingdings" w:hAnsi="Wingdings"/>
        <w:w w:val="100"/>
        <w:sz w:val="20"/>
        <w:szCs w:val="20"/>
        <w:shd w:val="clear" w:color="auto" w:fill="auto"/>
      </w:rPr>
    </w:lvl>
  </w:abstractNum>
  <w:abstractNum w:abstractNumId="13" w15:restartNumberingAfterBreak="0">
    <w:nsid w:val="0000000E"/>
    <w:multiLevelType w:val="hybridMultilevel"/>
    <w:tmpl w:val="28046E60"/>
    <w:lvl w:ilvl="0" w:tplc="88802D84">
      <w:start w:val="1"/>
      <w:numFmt w:val="bullet"/>
      <w:lvlText w:val="·"/>
      <w:lvlJc w:val="left"/>
      <w:pPr>
        <w:ind w:left="720" w:hanging="360"/>
      </w:pPr>
      <w:rPr>
        <w:rFonts w:ascii="Symbol" w:eastAsia="Symbol" w:hAnsi="Symbol"/>
        <w:w w:val="100"/>
        <w:sz w:val="20"/>
        <w:szCs w:val="20"/>
        <w:shd w:val="clear" w:color="auto" w:fill="auto"/>
      </w:rPr>
    </w:lvl>
    <w:lvl w:ilvl="1" w:tplc="6922BEF4">
      <w:start w:val="1"/>
      <w:numFmt w:val="decimal"/>
      <w:lvlText w:val="%2."/>
      <w:lvlJc w:val="left"/>
      <w:pPr>
        <w:ind w:left="1070" w:hanging="360"/>
      </w:pPr>
    </w:lvl>
    <w:lvl w:ilvl="2" w:tplc="334090D0">
      <w:start w:val="1"/>
      <w:numFmt w:val="bullet"/>
      <w:lvlText w:val="§"/>
      <w:lvlJc w:val="left"/>
      <w:pPr>
        <w:ind w:left="2520" w:hanging="360"/>
      </w:pPr>
      <w:rPr>
        <w:rFonts w:ascii="Wingdings" w:eastAsia="Wingdings" w:hAnsi="Wingdings"/>
        <w:w w:val="100"/>
        <w:sz w:val="20"/>
        <w:szCs w:val="20"/>
        <w:shd w:val="clear" w:color="auto" w:fill="auto"/>
      </w:rPr>
    </w:lvl>
    <w:lvl w:ilvl="3" w:tplc="DF2AECCE">
      <w:start w:val="1"/>
      <w:numFmt w:val="bullet"/>
      <w:lvlText w:val="·"/>
      <w:lvlJc w:val="left"/>
      <w:pPr>
        <w:ind w:left="3240" w:hanging="360"/>
      </w:pPr>
      <w:rPr>
        <w:rFonts w:ascii="Symbol" w:eastAsia="Symbol" w:hAnsi="Symbol"/>
        <w:w w:val="100"/>
        <w:sz w:val="20"/>
        <w:szCs w:val="20"/>
        <w:shd w:val="clear" w:color="auto" w:fill="auto"/>
      </w:rPr>
    </w:lvl>
    <w:lvl w:ilvl="4" w:tplc="192CEF1C">
      <w:start w:val="1"/>
      <w:numFmt w:val="bullet"/>
      <w:lvlText w:val="o"/>
      <w:lvlJc w:val="left"/>
      <w:pPr>
        <w:ind w:left="3960" w:hanging="360"/>
      </w:pPr>
      <w:rPr>
        <w:rFonts w:ascii="Courier New" w:eastAsia="Courier New" w:hAnsi="Courier New"/>
        <w:w w:val="100"/>
        <w:sz w:val="20"/>
        <w:szCs w:val="20"/>
        <w:shd w:val="clear" w:color="auto" w:fill="auto"/>
      </w:rPr>
    </w:lvl>
    <w:lvl w:ilvl="5" w:tplc="9E3AA006">
      <w:start w:val="1"/>
      <w:numFmt w:val="bullet"/>
      <w:lvlText w:val="§"/>
      <w:lvlJc w:val="left"/>
      <w:pPr>
        <w:ind w:left="4680" w:hanging="360"/>
      </w:pPr>
      <w:rPr>
        <w:rFonts w:ascii="Wingdings" w:eastAsia="Wingdings" w:hAnsi="Wingdings"/>
        <w:w w:val="100"/>
        <w:sz w:val="20"/>
        <w:szCs w:val="20"/>
        <w:shd w:val="clear" w:color="auto" w:fill="auto"/>
      </w:rPr>
    </w:lvl>
    <w:lvl w:ilvl="6" w:tplc="82B28436">
      <w:start w:val="1"/>
      <w:numFmt w:val="bullet"/>
      <w:lvlText w:val="·"/>
      <w:lvlJc w:val="left"/>
      <w:pPr>
        <w:ind w:left="5400" w:hanging="360"/>
      </w:pPr>
      <w:rPr>
        <w:rFonts w:ascii="Symbol" w:eastAsia="Symbol" w:hAnsi="Symbol"/>
        <w:w w:val="100"/>
        <w:sz w:val="20"/>
        <w:szCs w:val="20"/>
        <w:shd w:val="clear" w:color="auto" w:fill="auto"/>
      </w:rPr>
    </w:lvl>
    <w:lvl w:ilvl="7" w:tplc="8F94B37C">
      <w:start w:val="1"/>
      <w:numFmt w:val="bullet"/>
      <w:lvlText w:val="o"/>
      <w:lvlJc w:val="left"/>
      <w:pPr>
        <w:ind w:left="6120" w:hanging="360"/>
      </w:pPr>
      <w:rPr>
        <w:rFonts w:ascii="Courier New" w:eastAsia="Courier New" w:hAnsi="Courier New"/>
        <w:w w:val="100"/>
        <w:sz w:val="20"/>
        <w:szCs w:val="20"/>
        <w:shd w:val="clear" w:color="auto" w:fill="auto"/>
      </w:rPr>
    </w:lvl>
    <w:lvl w:ilvl="8" w:tplc="2938CA98">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4" w15:restartNumberingAfterBreak="0">
    <w:nsid w:val="0000000F"/>
    <w:multiLevelType w:val="hybridMultilevel"/>
    <w:tmpl w:val="3AEA7526"/>
    <w:lvl w:ilvl="0" w:tplc="71D22A04">
      <w:start w:val="1"/>
      <w:numFmt w:val="bullet"/>
      <w:lvlText w:val="·"/>
      <w:lvlJc w:val="left"/>
      <w:pPr>
        <w:ind w:left="720" w:hanging="360"/>
      </w:pPr>
      <w:rPr>
        <w:rFonts w:ascii="Symbol" w:eastAsia="Symbol" w:hAnsi="Symbol"/>
        <w:w w:val="100"/>
        <w:sz w:val="20"/>
        <w:szCs w:val="20"/>
        <w:shd w:val="clear" w:color="auto" w:fill="auto"/>
      </w:rPr>
    </w:lvl>
    <w:lvl w:ilvl="1" w:tplc="39EC77B6">
      <w:start w:val="1"/>
      <w:numFmt w:val="bullet"/>
      <w:lvlText w:val="o"/>
      <w:lvlJc w:val="left"/>
      <w:pPr>
        <w:ind w:left="1440" w:hanging="360"/>
      </w:pPr>
      <w:rPr>
        <w:rFonts w:ascii="Courier New" w:eastAsia="Courier New" w:hAnsi="Courier New"/>
        <w:w w:val="100"/>
        <w:sz w:val="20"/>
        <w:szCs w:val="20"/>
        <w:shd w:val="clear" w:color="auto" w:fill="auto"/>
      </w:rPr>
    </w:lvl>
    <w:lvl w:ilvl="2" w:tplc="014AE192">
      <w:start w:val="1"/>
      <w:numFmt w:val="bullet"/>
      <w:lvlText w:val="§"/>
      <w:lvlJc w:val="left"/>
      <w:pPr>
        <w:ind w:left="2160" w:hanging="360"/>
      </w:pPr>
      <w:rPr>
        <w:rFonts w:ascii="Wingdings" w:eastAsia="Wingdings" w:hAnsi="Wingdings"/>
        <w:w w:val="100"/>
        <w:sz w:val="20"/>
        <w:szCs w:val="20"/>
        <w:shd w:val="clear" w:color="auto" w:fill="auto"/>
      </w:rPr>
    </w:lvl>
    <w:lvl w:ilvl="3" w:tplc="4D065D26">
      <w:start w:val="1"/>
      <w:numFmt w:val="bullet"/>
      <w:lvlText w:val="·"/>
      <w:lvlJc w:val="left"/>
      <w:pPr>
        <w:ind w:left="2880" w:hanging="360"/>
      </w:pPr>
      <w:rPr>
        <w:rFonts w:ascii="Symbol" w:eastAsia="Symbol" w:hAnsi="Symbol"/>
        <w:w w:val="100"/>
        <w:sz w:val="20"/>
        <w:szCs w:val="20"/>
        <w:shd w:val="clear" w:color="auto" w:fill="auto"/>
      </w:rPr>
    </w:lvl>
    <w:lvl w:ilvl="4" w:tplc="F164443E">
      <w:start w:val="1"/>
      <w:numFmt w:val="bullet"/>
      <w:lvlText w:val="o"/>
      <w:lvlJc w:val="left"/>
      <w:pPr>
        <w:ind w:left="3600" w:hanging="360"/>
      </w:pPr>
      <w:rPr>
        <w:rFonts w:ascii="Courier New" w:eastAsia="Courier New" w:hAnsi="Courier New"/>
        <w:w w:val="100"/>
        <w:sz w:val="20"/>
        <w:szCs w:val="20"/>
        <w:shd w:val="clear" w:color="auto" w:fill="auto"/>
      </w:rPr>
    </w:lvl>
    <w:lvl w:ilvl="5" w:tplc="788042DC">
      <w:start w:val="1"/>
      <w:numFmt w:val="bullet"/>
      <w:lvlText w:val="§"/>
      <w:lvlJc w:val="left"/>
      <w:pPr>
        <w:ind w:left="4320" w:hanging="360"/>
      </w:pPr>
      <w:rPr>
        <w:rFonts w:ascii="Wingdings" w:eastAsia="Wingdings" w:hAnsi="Wingdings"/>
        <w:w w:val="100"/>
        <w:sz w:val="20"/>
        <w:szCs w:val="20"/>
        <w:shd w:val="clear" w:color="auto" w:fill="auto"/>
      </w:rPr>
    </w:lvl>
    <w:lvl w:ilvl="6" w:tplc="68145732">
      <w:start w:val="1"/>
      <w:numFmt w:val="bullet"/>
      <w:lvlText w:val="·"/>
      <w:lvlJc w:val="left"/>
      <w:pPr>
        <w:ind w:left="5040" w:hanging="360"/>
      </w:pPr>
      <w:rPr>
        <w:rFonts w:ascii="Symbol" w:eastAsia="Symbol" w:hAnsi="Symbol"/>
        <w:w w:val="100"/>
        <w:sz w:val="20"/>
        <w:szCs w:val="20"/>
        <w:shd w:val="clear" w:color="auto" w:fill="auto"/>
      </w:rPr>
    </w:lvl>
    <w:lvl w:ilvl="7" w:tplc="A7FCDE04">
      <w:start w:val="1"/>
      <w:numFmt w:val="bullet"/>
      <w:lvlText w:val="o"/>
      <w:lvlJc w:val="left"/>
      <w:pPr>
        <w:ind w:left="5760" w:hanging="360"/>
      </w:pPr>
      <w:rPr>
        <w:rFonts w:ascii="Courier New" w:eastAsia="Courier New" w:hAnsi="Courier New"/>
        <w:w w:val="100"/>
        <w:sz w:val="20"/>
        <w:szCs w:val="20"/>
        <w:shd w:val="clear" w:color="auto" w:fill="auto"/>
      </w:rPr>
    </w:lvl>
    <w:lvl w:ilvl="8" w:tplc="F5A0876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5" w15:restartNumberingAfterBreak="0">
    <w:nsid w:val="00000010"/>
    <w:multiLevelType w:val="hybridMultilevel"/>
    <w:tmpl w:val="76B13001"/>
    <w:lvl w:ilvl="0" w:tplc="6316DE18">
      <w:start w:val="1"/>
      <w:numFmt w:val="decimal"/>
      <w:lvlText w:val="%1."/>
      <w:lvlJc w:val="left"/>
      <w:pPr>
        <w:ind w:left="720" w:hanging="360"/>
      </w:pPr>
    </w:lvl>
    <w:lvl w:ilvl="1" w:tplc="E7D8DE24">
      <w:start w:val="1"/>
      <w:numFmt w:val="bullet"/>
      <w:lvlText w:val="o"/>
      <w:lvlJc w:val="left"/>
      <w:pPr>
        <w:ind w:left="4313" w:hanging="360"/>
      </w:pPr>
      <w:rPr>
        <w:rFonts w:ascii="Courier New" w:eastAsia="Courier New" w:hAnsi="Courier New"/>
        <w:w w:val="100"/>
        <w:sz w:val="20"/>
        <w:szCs w:val="20"/>
        <w:shd w:val="clear" w:color="auto" w:fill="auto"/>
      </w:rPr>
    </w:lvl>
    <w:lvl w:ilvl="2" w:tplc="C04479BA">
      <w:start w:val="1"/>
      <w:numFmt w:val="bullet"/>
      <w:lvlText w:val="§"/>
      <w:lvlJc w:val="left"/>
      <w:pPr>
        <w:ind w:left="5033" w:hanging="360"/>
      </w:pPr>
      <w:rPr>
        <w:rFonts w:ascii="Wingdings" w:eastAsia="Wingdings" w:hAnsi="Wingdings"/>
        <w:w w:val="100"/>
        <w:sz w:val="20"/>
        <w:szCs w:val="20"/>
        <w:shd w:val="clear" w:color="auto" w:fill="auto"/>
      </w:rPr>
    </w:lvl>
    <w:lvl w:ilvl="3" w:tplc="5600AA1A">
      <w:start w:val="1"/>
      <w:numFmt w:val="bullet"/>
      <w:lvlText w:val="o"/>
      <w:lvlJc w:val="left"/>
      <w:pPr>
        <w:ind w:left="5753" w:hanging="360"/>
      </w:pPr>
      <w:rPr>
        <w:rFonts w:ascii="Courier New" w:eastAsia="Courier New" w:hAnsi="Courier New"/>
        <w:w w:val="100"/>
        <w:sz w:val="20"/>
        <w:szCs w:val="20"/>
        <w:shd w:val="clear" w:color="auto" w:fill="auto"/>
      </w:rPr>
    </w:lvl>
    <w:lvl w:ilvl="4" w:tplc="4ECA3048">
      <w:start w:val="1"/>
      <w:numFmt w:val="bullet"/>
      <w:lvlText w:val="o"/>
      <w:lvlJc w:val="left"/>
      <w:pPr>
        <w:ind w:left="6473" w:hanging="360"/>
      </w:pPr>
      <w:rPr>
        <w:rFonts w:ascii="Courier New" w:eastAsia="Courier New" w:hAnsi="Courier New"/>
        <w:w w:val="100"/>
        <w:sz w:val="20"/>
        <w:szCs w:val="20"/>
        <w:shd w:val="clear" w:color="auto" w:fill="auto"/>
      </w:rPr>
    </w:lvl>
    <w:lvl w:ilvl="5" w:tplc="C10C97C4">
      <w:start w:val="1"/>
      <w:numFmt w:val="bullet"/>
      <w:lvlText w:val="§"/>
      <w:lvlJc w:val="left"/>
      <w:pPr>
        <w:ind w:left="7193" w:hanging="360"/>
      </w:pPr>
      <w:rPr>
        <w:rFonts w:ascii="Wingdings" w:eastAsia="Wingdings" w:hAnsi="Wingdings"/>
        <w:w w:val="100"/>
        <w:sz w:val="20"/>
        <w:szCs w:val="20"/>
        <w:shd w:val="clear" w:color="auto" w:fill="auto"/>
      </w:rPr>
    </w:lvl>
    <w:lvl w:ilvl="6" w:tplc="BE16D5AA">
      <w:start w:val="1"/>
      <w:numFmt w:val="bullet"/>
      <w:lvlText w:val="·"/>
      <w:lvlJc w:val="left"/>
      <w:pPr>
        <w:ind w:left="7913" w:hanging="360"/>
      </w:pPr>
      <w:rPr>
        <w:rFonts w:ascii="Symbol" w:eastAsia="Symbol" w:hAnsi="Symbol"/>
        <w:w w:val="100"/>
        <w:sz w:val="20"/>
        <w:szCs w:val="20"/>
        <w:shd w:val="clear" w:color="auto" w:fill="auto"/>
      </w:rPr>
    </w:lvl>
    <w:lvl w:ilvl="7" w:tplc="6F7C4A64">
      <w:start w:val="1"/>
      <w:numFmt w:val="bullet"/>
      <w:lvlText w:val="o"/>
      <w:lvlJc w:val="left"/>
      <w:pPr>
        <w:ind w:left="8633" w:hanging="360"/>
      </w:pPr>
      <w:rPr>
        <w:rFonts w:ascii="Courier New" w:eastAsia="Courier New" w:hAnsi="Courier New"/>
        <w:w w:val="100"/>
        <w:sz w:val="20"/>
        <w:szCs w:val="20"/>
        <w:shd w:val="clear" w:color="auto" w:fill="auto"/>
      </w:rPr>
    </w:lvl>
    <w:lvl w:ilvl="8" w:tplc="39DC0644">
      <w:start w:val="1"/>
      <w:numFmt w:val="bullet"/>
      <w:lvlText w:val="§"/>
      <w:lvlJc w:val="left"/>
      <w:pPr>
        <w:ind w:left="9353" w:hanging="360"/>
      </w:pPr>
      <w:rPr>
        <w:rFonts w:ascii="Wingdings" w:eastAsia="Wingdings" w:hAnsi="Wingdings"/>
        <w:w w:val="100"/>
        <w:sz w:val="20"/>
        <w:szCs w:val="20"/>
        <w:shd w:val="clear" w:color="auto" w:fill="auto"/>
      </w:rPr>
    </w:lvl>
  </w:abstractNum>
  <w:abstractNum w:abstractNumId="16" w15:restartNumberingAfterBreak="0">
    <w:nsid w:val="00000011"/>
    <w:multiLevelType w:val="hybridMultilevel"/>
    <w:tmpl w:val="6AC6CE87"/>
    <w:lvl w:ilvl="0" w:tplc="B5225D7A">
      <w:start w:val="1"/>
      <w:numFmt w:val="bullet"/>
      <w:lvlText w:val="·"/>
      <w:lvlJc w:val="left"/>
      <w:pPr>
        <w:ind w:left="1080" w:hanging="360"/>
      </w:pPr>
      <w:rPr>
        <w:rFonts w:ascii="Symbol" w:eastAsia="Symbol" w:hAnsi="Symbol"/>
        <w:w w:val="100"/>
        <w:sz w:val="20"/>
        <w:szCs w:val="20"/>
        <w:shd w:val="clear" w:color="auto" w:fill="auto"/>
      </w:rPr>
    </w:lvl>
    <w:lvl w:ilvl="1" w:tplc="6C2E7EC2">
      <w:start w:val="1"/>
      <w:numFmt w:val="bullet"/>
      <w:lvlText w:val="o"/>
      <w:lvlJc w:val="left"/>
      <w:pPr>
        <w:ind w:left="1800" w:hanging="360"/>
      </w:pPr>
      <w:rPr>
        <w:rFonts w:ascii="Courier New" w:eastAsia="Courier New" w:hAnsi="Courier New"/>
        <w:w w:val="100"/>
        <w:sz w:val="20"/>
        <w:szCs w:val="20"/>
        <w:shd w:val="clear" w:color="auto" w:fill="auto"/>
      </w:rPr>
    </w:lvl>
    <w:lvl w:ilvl="2" w:tplc="4A82F344">
      <w:start w:val="1"/>
      <w:numFmt w:val="bullet"/>
      <w:lvlText w:val="§"/>
      <w:lvlJc w:val="left"/>
      <w:pPr>
        <w:ind w:left="2520" w:hanging="360"/>
      </w:pPr>
      <w:rPr>
        <w:rFonts w:ascii="Wingdings" w:eastAsia="Wingdings" w:hAnsi="Wingdings"/>
        <w:w w:val="100"/>
        <w:sz w:val="20"/>
        <w:szCs w:val="20"/>
        <w:shd w:val="clear" w:color="auto" w:fill="auto"/>
      </w:rPr>
    </w:lvl>
    <w:lvl w:ilvl="3" w:tplc="F82EA35E">
      <w:start w:val="1"/>
      <w:numFmt w:val="bullet"/>
      <w:lvlText w:val="·"/>
      <w:lvlJc w:val="left"/>
      <w:pPr>
        <w:ind w:left="3240" w:hanging="360"/>
      </w:pPr>
      <w:rPr>
        <w:rFonts w:ascii="Symbol" w:eastAsia="Symbol" w:hAnsi="Symbol"/>
        <w:w w:val="100"/>
        <w:sz w:val="20"/>
        <w:szCs w:val="20"/>
        <w:shd w:val="clear" w:color="auto" w:fill="auto"/>
      </w:rPr>
    </w:lvl>
    <w:lvl w:ilvl="4" w:tplc="CE760832">
      <w:start w:val="1"/>
      <w:numFmt w:val="bullet"/>
      <w:lvlText w:val="o"/>
      <w:lvlJc w:val="left"/>
      <w:pPr>
        <w:ind w:left="3960" w:hanging="360"/>
      </w:pPr>
      <w:rPr>
        <w:rFonts w:ascii="Courier New" w:eastAsia="Courier New" w:hAnsi="Courier New"/>
        <w:w w:val="100"/>
        <w:sz w:val="20"/>
        <w:szCs w:val="20"/>
        <w:shd w:val="clear" w:color="auto" w:fill="auto"/>
      </w:rPr>
    </w:lvl>
    <w:lvl w:ilvl="5" w:tplc="D3644F1C">
      <w:start w:val="1"/>
      <w:numFmt w:val="bullet"/>
      <w:lvlText w:val="§"/>
      <w:lvlJc w:val="left"/>
      <w:pPr>
        <w:ind w:left="4680" w:hanging="360"/>
      </w:pPr>
      <w:rPr>
        <w:rFonts w:ascii="Wingdings" w:eastAsia="Wingdings" w:hAnsi="Wingdings"/>
        <w:w w:val="100"/>
        <w:sz w:val="20"/>
        <w:szCs w:val="20"/>
        <w:shd w:val="clear" w:color="auto" w:fill="auto"/>
      </w:rPr>
    </w:lvl>
    <w:lvl w:ilvl="6" w:tplc="6F18432C">
      <w:start w:val="1"/>
      <w:numFmt w:val="bullet"/>
      <w:lvlText w:val="·"/>
      <w:lvlJc w:val="left"/>
      <w:pPr>
        <w:ind w:left="5400" w:hanging="360"/>
      </w:pPr>
      <w:rPr>
        <w:rFonts w:ascii="Symbol" w:eastAsia="Symbol" w:hAnsi="Symbol"/>
        <w:w w:val="100"/>
        <w:sz w:val="20"/>
        <w:szCs w:val="20"/>
        <w:shd w:val="clear" w:color="auto" w:fill="auto"/>
      </w:rPr>
    </w:lvl>
    <w:lvl w:ilvl="7" w:tplc="7DFA863E">
      <w:start w:val="1"/>
      <w:numFmt w:val="bullet"/>
      <w:lvlText w:val="o"/>
      <w:lvlJc w:val="left"/>
      <w:pPr>
        <w:ind w:left="6120" w:hanging="360"/>
      </w:pPr>
      <w:rPr>
        <w:rFonts w:ascii="Courier New" w:eastAsia="Courier New" w:hAnsi="Courier New"/>
        <w:w w:val="100"/>
        <w:sz w:val="20"/>
        <w:szCs w:val="20"/>
        <w:shd w:val="clear" w:color="auto" w:fill="auto"/>
      </w:rPr>
    </w:lvl>
    <w:lvl w:ilvl="8" w:tplc="78608C94">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7" w15:restartNumberingAfterBreak="0">
    <w:nsid w:val="00000012"/>
    <w:multiLevelType w:val="hybridMultilevel"/>
    <w:tmpl w:val="222137D5"/>
    <w:lvl w:ilvl="0" w:tplc="6F720B34">
      <w:start w:val="1"/>
      <w:numFmt w:val="bullet"/>
      <w:lvlText w:val="·"/>
      <w:lvlJc w:val="left"/>
      <w:pPr>
        <w:ind w:left="720" w:hanging="360"/>
      </w:pPr>
      <w:rPr>
        <w:rFonts w:ascii="Symbol" w:eastAsia="Symbol" w:hAnsi="Symbol"/>
        <w:w w:val="100"/>
        <w:sz w:val="20"/>
        <w:szCs w:val="20"/>
        <w:shd w:val="clear" w:color="auto" w:fill="auto"/>
      </w:rPr>
    </w:lvl>
    <w:lvl w:ilvl="1" w:tplc="3ACCECDC">
      <w:start w:val="1"/>
      <w:numFmt w:val="bullet"/>
      <w:lvlText w:val="o"/>
      <w:lvlJc w:val="left"/>
      <w:pPr>
        <w:ind w:left="1440" w:hanging="360"/>
      </w:pPr>
      <w:rPr>
        <w:rFonts w:ascii="Courier New" w:eastAsia="Courier New" w:hAnsi="Courier New"/>
        <w:w w:val="100"/>
        <w:sz w:val="20"/>
        <w:szCs w:val="20"/>
        <w:shd w:val="clear" w:color="auto" w:fill="auto"/>
      </w:rPr>
    </w:lvl>
    <w:lvl w:ilvl="2" w:tplc="4A08AB12">
      <w:numFmt w:val="bullet"/>
      <w:lvlText w:val="-"/>
      <w:lvlJc w:val="left"/>
      <w:pPr>
        <w:ind w:left="2160" w:hanging="360"/>
      </w:pPr>
      <w:rPr>
        <w:rFonts w:ascii="Verdana" w:eastAsia="Verdana" w:hAnsi="Verdana"/>
        <w:w w:val="100"/>
        <w:sz w:val="20"/>
        <w:szCs w:val="20"/>
        <w:shd w:val="clear" w:color="auto" w:fill="auto"/>
      </w:rPr>
    </w:lvl>
    <w:lvl w:ilvl="3" w:tplc="59C2BE58">
      <w:start w:val="1"/>
      <w:numFmt w:val="bullet"/>
      <w:lvlText w:val="·"/>
      <w:lvlJc w:val="left"/>
      <w:pPr>
        <w:ind w:left="2880" w:hanging="360"/>
      </w:pPr>
      <w:rPr>
        <w:rFonts w:ascii="Symbol" w:eastAsia="Symbol" w:hAnsi="Symbol"/>
        <w:w w:val="100"/>
        <w:sz w:val="20"/>
        <w:szCs w:val="20"/>
        <w:shd w:val="clear" w:color="auto" w:fill="auto"/>
      </w:rPr>
    </w:lvl>
    <w:lvl w:ilvl="4" w:tplc="BDB09B48">
      <w:start w:val="1"/>
      <w:numFmt w:val="bullet"/>
      <w:lvlText w:val="o"/>
      <w:lvlJc w:val="left"/>
      <w:pPr>
        <w:ind w:left="3600" w:hanging="360"/>
      </w:pPr>
      <w:rPr>
        <w:rFonts w:ascii="Courier New" w:eastAsia="Courier New" w:hAnsi="Courier New"/>
        <w:w w:val="100"/>
        <w:sz w:val="20"/>
        <w:szCs w:val="20"/>
        <w:shd w:val="clear" w:color="auto" w:fill="auto"/>
      </w:rPr>
    </w:lvl>
    <w:lvl w:ilvl="5" w:tplc="97589A66">
      <w:start w:val="1"/>
      <w:numFmt w:val="bullet"/>
      <w:lvlText w:val="§"/>
      <w:lvlJc w:val="left"/>
      <w:pPr>
        <w:ind w:left="4320" w:hanging="360"/>
      </w:pPr>
      <w:rPr>
        <w:rFonts w:ascii="Wingdings" w:eastAsia="Wingdings" w:hAnsi="Wingdings"/>
        <w:w w:val="100"/>
        <w:sz w:val="20"/>
        <w:szCs w:val="20"/>
        <w:shd w:val="clear" w:color="auto" w:fill="auto"/>
      </w:rPr>
    </w:lvl>
    <w:lvl w:ilvl="6" w:tplc="E1E25B06">
      <w:start w:val="1"/>
      <w:numFmt w:val="bullet"/>
      <w:lvlText w:val="·"/>
      <w:lvlJc w:val="left"/>
      <w:pPr>
        <w:ind w:left="5040" w:hanging="360"/>
      </w:pPr>
      <w:rPr>
        <w:rFonts w:ascii="Symbol" w:eastAsia="Symbol" w:hAnsi="Symbol"/>
        <w:w w:val="100"/>
        <w:sz w:val="20"/>
        <w:szCs w:val="20"/>
        <w:shd w:val="clear" w:color="auto" w:fill="auto"/>
      </w:rPr>
    </w:lvl>
    <w:lvl w:ilvl="7" w:tplc="51B87FFA">
      <w:start w:val="1"/>
      <w:numFmt w:val="bullet"/>
      <w:lvlText w:val="o"/>
      <w:lvlJc w:val="left"/>
      <w:pPr>
        <w:ind w:left="5760" w:hanging="360"/>
      </w:pPr>
      <w:rPr>
        <w:rFonts w:ascii="Courier New" w:eastAsia="Courier New" w:hAnsi="Courier New"/>
        <w:w w:val="100"/>
        <w:sz w:val="20"/>
        <w:szCs w:val="20"/>
        <w:shd w:val="clear" w:color="auto" w:fill="auto"/>
      </w:rPr>
    </w:lvl>
    <w:lvl w:ilvl="8" w:tplc="208295D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8" w15:restartNumberingAfterBreak="0">
    <w:nsid w:val="00000013"/>
    <w:multiLevelType w:val="hybridMultilevel"/>
    <w:tmpl w:val="32D89274"/>
    <w:lvl w:ilvl="0" w:tplc="8B04B7E2">
      <w:start w:val="1"/>
      <w:numFmt w:val="bullet"/>
      <w:lvlText w:val="·"/>
      <w:lvlJc w:val="left"/>
      <w:pPr>
        <w:ind w:left="720" w:hanging="360"/>
      </w:pPr>
      <w:rPr>
        <w:rFonts w:ascii="Symbol" w:eastAsia="Symbol" w:hAnsi="Symbol"/>
        <w:w w:val="100"/>
        <w:sz w:val="20"/>
        <w:szCs w:val="20"/>
        <w:shd w:val="clear" w:color="auto" w:fill="auto"/>
      </w:rPr>
    </w:lvl>
    <w:lvl w:ilvl="1" w:tplc="04D26D0A">
      <w:start w:val="1"/>
      <w:numFmt w:val="bullet"/>
      <w:lvlText w:val="o"/>
      <w:lvlJc w:val="left"/>
      <w:pPr>
        <w:ind w:left="786" w:hanging="360"/>
      </w:pPr>
      <w:rPr>
        <w:rFonts w:ascii="Courier New" w:eastAsia="Courier New" w:hAnsi="Courier New"/>
        <w:w w:val="100"/>
        <w:sz w:val="20"/>
        <w:szCs w:val="20"/>
        <w:shd w:val="clear" w:color="auto" w:fill="auto"/>
      </w:rPr>
    </w:lvl>
    <w:lvl w:ilvl="2" w:tplc="A120F1BA">
      <w:numFmt w:val="bullet"/>
      <w:lvlText w:val="-"/>
      <w:lvlJc w:val="left"/>
      <w:pPr>
        <w:ind w:left="2160" w:hanging="360"/>
      </w:pPr>
      <w:rPr>
        <w:rFonts w:ascii="Verdana" w:eastAsia="Verdana" w:hAnsi="Verdana"/>
        <w:w w:val="100"/>
        <w:sz w:val="20"/>
        <w:szCs w:val="20"/>
        <w:shd w:val="clear" w:color="auto" w:fill="auto"/>
      </w:rPr>
    </w:lvl>
    <w:lvl w:ilvl="3" w:tplc="1736C2D0">
      <w:start w:val="1"/>
      <w:numFmt w:val="bullet"/>
      <w:lvlText w:val="·"/>
      <w:lvlJc w:val="left"/>
      <w:pPr>
        <w:ind w:left="2880" w:hanging="360"/>
      </w:pPr>
      <w:rPr>
        <w:rFonts w:ascii="Symbol" w:eastAsia="Symbol" w:hAnsi="Symbol"/>
        <w:w w:val="100"/>
        <w:sz w:val="20"/>
        <w:szCs w:val="20"/>
        <w:shd w:val="clear" w:color="auto" w:fill="auto"/>
      </w:rPr>
    </w:lvl>
    <w:lvl w:ilvl="4" w:tplc="26CA7766">
      <w:start w:val="1"/>
      <w:numFmt w:val="bullet"/>
      <w:lvlText w:val="o"/>
      <w:lvlJc w:val="left"/>
      <w:pPr>
        <w:ind w:left="3600" w:hanging="360"/>
      </w:pPr>
      <w:rPr>
        <w:rFonts w:ascii="Courier New" w:eastAsia="Courier New" w:hAnsi="Courier New"/>
        <w:w w:val="100"/>
        <w:sz w:val="20"/>
        <w:szCs w:val="20"/>
        <w:shd w:val="clear" w:color="auto" w:fill="auto"/>
      </w:rPr>
    </w:lvl>
    <w:lvl w:ilvl="5" w:tplc="E31E8D30">
      <w:start w:val="1"/>
      <w:numFmt w:val="bullet"/>
      <w:lvlText w:val="§"/>
      <w:lvlJc w:val="left"/>
      <w:pPr>
        <w:ind w:left="4320" w:hanging="360"/>
      </w:pPr>
      <w:rPr>
        <w:rFonts w:ascii="Wingdings" w:eastAsia="Wingdings" w:hAnsi="Wingdings"/>
        <w:w w:val="100"/>
        <w:sz w:val="20"/>
        <w:szCs w:val="20"/>
        <w:shd w:val="clear" w:color="auto" w:fill="auto"/>
      </w:rPr>
    </w:lvl>
    <w:lvl w:ilvl="6" w:tplc="E632C1F2">
      <w:start w:val="1"/>
      <w:numFmt w:val="bullet"/>
      <w:lvlText w:val="·"/>
      <w:lvlJc w:val="left"/>
      <w:pPr>
        <w:ind w:left="5040" w:hanging="360"/>
      </w:pPr>
      <w:rPr>
        <w:rFonts w:ascii="Symbol" w:eastAsia="Symbol" w:hAnsi="Symbol"/>
        <w:w w:val="100"/>
        <w:sz w:val="20"/>
        <w:szCs w:val="20"/>
        <w:shd w:val="clear" w:color="auto" w:fill="auto"/>
      </w:rPr>
    </w:lvl>
    <w:lvl w:ilvl="7" w:tplc="F828C846">
      <w:start w:val="1"/>
      <w:numFmt w:val="bullet"/>
      <w:lvlText w:val="o"/>
      <w:lvlJc w:val="left"/>
      <w:pPr>
        <w:ind w:left="5760" w:hanging="360"/>
      </w:pPr>
      <w:rPr>
        <w:rFonts w:ascii="Courier New" w:eastAsia="Courier New" w:hAnsi="Courier New"/>
        <w:w w:val="100"/>
        <w:sz w:val="20"/>
        <w:szCs w:val="20"/>
        <w:shd w:val="clear" w:color="auto" w:fill="auto"/>
      </w:rPr>
    </w:lvl>
    <w:lvl w:ilvl="8" w:tplc="99560DF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9" w15:restartNumberingAfterBreak="0">
    <w:nsid w:val="00000014"/>
    <w:multiLevelType w:val="hybridMultilevel"/>
    <w:tmpl w:val="287717C0"/>
    <w:lvl w:ilvl="0" w:tplc="A832F516">
      <w:start w:val="1"/>
      <w:numFmt w:val="bullet"/>
      <w:lvlText w:val="·"/>
      <w:lvlJc w:val="left"/>
      <w:pPr>
        <w:ind w:left="720" w:hanging="360"/>
      </w:pPr>
      <w:rPr>
        <w:rFonts w:ascii="Symbol" w:eastAsia="Symbol" w:hAnsi="Symbol"/>
        <w:w w:val="100"/>
        <w:sz w:val="20"/>
        <w:szCs w:val="20"/>
        <w:shd w:val="clear" w:color="auto" w:fill="auto"/>
      </w:rPr>
    </w:lvl>
    <w:lvl w:ilvl="1" w:tplc="F132BBC8">
      <w:start w:val="1"/>
      <w:numFmt w:val="bullet"/>
      <w:lvlText w:val="o"/>
      <w:lvlJc w:val="left"/>
      <w:pPr>
        <w:ind w:left="1440" w:hanging="360"/>
      </w:pPr>
      <w:rPr>
        <w:rFonts w:ascii="Courier New" w:eastAsia="Courier New" w:hAnsi="Courier New"/>
        <w:w w:val="100"/>
        <w:sz w:val="20"/>
        <w:szCs w:val="20"/>
        <w:shd w:val="clear" w:color="auto" w:fill="auto"/>
      </w:rPr>
    </w:lvl>
    <w:lvl w:ilvl="2" w:tplc="765E687C">
      <w:numFmt w:val="bullet"/>
      <w:lvlText w:val="-"/>
      <w:lvlJc w:val="left"/>
      <w:pPr>
        <w:ind w:left="2160" w:hanging="360"/>
      </w:pPr>
      <w:rPr>
        <w:rFonts w:ascii="Verdana" w:eastAsia="Verdana" w:hAnsi="Verdana"/>
        <w:w w:val="100"/>
        <w:sz w:val="20"/>
        <w:szCs w:val="20"/>
        <w:shd w:val="clear" w:color="auto" w:fill="auto"/>
      </w:rPr>
    </w:lvl>
    <w:lvl w:ilvl="3" w:tplc="CAAE1B50">
      <w:start w:val="1"/>
      <w:numFmt w:val="bullet"/>
      <w:lvlText w:val="·"/>
      <w:lvlJc w:val="left"/>
      <w:pPr>
        <w:ind w:left="2880" w:hanging="360"/>
      </w:pPr>
      <w:rPr>
        <w:rFonts w:ascii="Symbol" w:eastAsia="Symbol" w:hAnsi="Symbol"/>
        <w:w w:val="100"/>
        <w:sz w:val="20"/>
        <w:szCs w:val="20"/>
        <w:shd w:val="clear" w:color="auto" w:fill="auto"/>
      </w:rPr>
    </w:lvl>
    <w:lvl w:ilvl="4" w:tplc="12F0DD00">
      <w:start w:val="1"/>
      <w:numFmt w:val="bullet"/>
      <w:lvlText w:val="o"/>
      <w:lvlJc w:val="left"/>
      <w:pPr>
        <w:ind w:left="3600" w:hanging="360"/>
      </w:pPr>
      <w:rPr>
        <w:rFonts w:ascii="Courier New" w:eastAsia="Courier New" w:hAnsi="Courier New"/>
        <w:w w:val="100"/>
        <w:sz w:val="20"/>
        <w:szCs w:val="20"/>
        <w:shd w:val="clear" w:color="auto" w:fill="auto"/>
      </w:rPr>
    </w:lvl>
    <w:lvl w:ilvl="5" w:tplc="E304D54C">
      <w:start w:val="1"/>
      <w:numFmt w:val="bullet"/>
      <w:lvlText w:val="§"/>
      <w:lvlJc w:val="left"/>
      <w:pPr>
        <w:ind w:left="4320" w:hanging="360"/>
      </w:pPr>
      <w:rPr>
        <w:rFonts w:ascii="Wingdings" w:eastAsia="Wingdings" w:hAnsi="Wingdings"/>
        <w:w w:val="100"/>
        <w:sz w:val="20"/>
        <w:szCs w:val="20"/>
        <w:shd w:val="clear" w:color="auto" w:fill="auto"/>
      </w:rPr>
    </w:lvl>
    <w:lvl w:ilvl="6" w:tplc="79227228">
      <w:start w:val="1"/>
      <w:numFmt w:val="bullet"/>
      <w:lvlText w:val="·"/>
      <w:lvlJc w:val="left"/>
      <w:pPr>
        <w:ind w:left="5040" w:hanging="360"/>
      </w:pPr>
      <w:rPr>
        <w:rFonts w:ascii="Symbol" w:eastAsia="Symbol" w:hAnsi="Symbol"/>
        <w:w w:val="100"/>
        <w:sz w:val="20"/>
        <w:szCs w:val="20"/>
        <w:shd w:val="clear" w:color="auto" w:fill="auto"/>
      </w:rPr>
    </w:lvl>
    <w:lvl w:ilvl="7" w:tplc="C5724534">
      <w:start w:val="1"/>
      <w:numFmt w:val="bullet"/>
      <w:lvlText w:val="o"/>
      <w:lvlJc w:val="left"/>
      <w:pPr>
        <w:ind w:left="5760" w:hanging="360"/>
      </w:pPr>
      <w:rPr>
        <w:rFonts w:ascii="Courier New" w:eastAsia="Courier New" w:hAnsi="Courier New"/>
        <w:w w:val="100"/>
        <w:sz w:val="20"/>
        <w:szCs w:val="20"/>
        <w:shd w:val="clear" w:color="auto" w:fill="auto"/>
      </w:rPr>
    </w:lvl>
    <w:lvl w:ilvl="8" w:tplc="72E4EF0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0" w15:restartNumberingAfterBreak="0">
    <w:nsid w:val="00000015"/>
    <w:multiLevelType w:val="hybridMultilevel"/>
    <w:tmpl w:val="22B85301"/>
    <w:lvl w:ilvl="0" w:tplc="3258B7D4">
      <w:start w:val="1"/>
      <w:numFmt w:val="bullet"/>
      <w:lvlText w:val="·"/>
      <w:lvlJc w:val="left"/>
      <w:pPr>
        <w:ind w:left="720" w:hanging="360"/>
      </w:pPr>
      <w:rPr>
        <w:rFonts w:ascii="Symbol" w:eastAsia="Symbol" w:hAnsi="Symbol"/>
        <w:w w:val="100"/>
        <w:sz w:val="20"/>
        <w:szCs w:val="20"/>
        <w:shd w:val="clear" w:color="auto" w:fill="auto"/>
      </w:rPr>
    </w:lvl>
    <w:lvl w:ilvl="1" w:tplc="B49E9D2A">
      <w:start w:val="1"/>
      <w:numFmt w:val="bullet"/>
      <w:lvlText w:val="o"/>
      <w:lvlJc w:val="left"/>
      <w:pPr>
        <w:ind w:left="1440" w:hanging="360"/>
      </w:pPr>
      <w:rPr>
        <w:rFonts w:ascii="Courier New" w:eastAsia="Courier New" w:hAnsi="Courier New"/>
        <w:w w:val="100"/>
        <w:sz w:val="20"/>
        <w:szCs w:val="20"/>
        <w:shd w:val="clear" w:color="auto" w:fill="auto"/>
      </w:rPr>
    </w:lvl>
    <w:lvl w:ilvl="2" w:tplc="CB6EB310">
      <w:numFmt w:val="bullet"/>
      <w:lvlText w:val="-"/>
      <w:lvlJc w:val="left"/>
      <w:pPr>
        <w:ind w:left="2160" w:hanging="360"/>
      </w:pPr>
      <w:rPr>
        <w:rFonts w:ascii="Verdana" w:eastAsia="Verdana" w:hAnsi="Verdana"/>
        <w:w w:val="100"/>
        <w:sz w:val="20"/>
        <w:szCs w:val="20"/>
        <w:shd w:val="clear" w:color="auto" w:fill="auto"/>
      </w:rPr>
    </w:lvl>
    <w:lvl w:ilvl="3" w:tplc="FE0EFD10">
      <w:start w:val="1"/>
      <w:numFmt w:val="bullet"/>
      <w:lvlText w:val="·"/>
      <w:lvlJc w:val="left"/>
      <w:pPr>
        <w:ind w:left="2880" w:hanging="360"/>
      </w:pPr>
      <w:rPr>
        <w:rFonts w:ascii="Symbol" w:eastAsia="Symbol" w:hAnsi="Symbol"/>
        <w:w w:val="100"/>
        <w:sz w:val="20"/>
        <w:szCs w:val="20"/>
        <w:shd w:val="clear" w:color="auto" w:fill="auto"/>
      </w:rPr>
    </w:lvl>
    <w:lvl w:ilvl="4" w:tplc="F35C96AE">
      <w:start w:val="1"/>
      <w:numFmt w:val="bullet"/>
      <w:lvlText w:val="o"/>
      <w:lvlJc w:val="left"/>
      <w:pPr>
        <w:ind w:left="3600" w:hanging="360"/>
      </w:pPr>
      <w:rPr>
        <w:rFonts w:ascii="Courier New" w:eastAsia="Courier New" w:hAnsi="Courier New"/>
        <w:w w:val="100"/>
        <w:sz w:val="20"/>
        <w:szCs w:val="20"/>
        <w:shd w:val="clear" w:color="auto" w:fill="auto"/>
      </w:rPr>
    </w:lvl>
    <w:lvl w:ilvl="5" w:tplc="FA425F8A">
      <w:start w:val="1"/>
      <w:numFmt w:val="bullet"/>
      <w:lvlText w:val="§"/>
      <w:lvlJc w:val="left"/>
      <w:pPr>
        <w:ind w:left="4320" w:hanging="360"/>
      </w:pPr>
      <w:rPr>
        <w:rFonts w:ascii="Wingdings" w:eastAsia="Wingdings" w:hAnsi="Wingdings"/>
        <w:w w:val="100"/>
        <w:sz w:val="20"/>
        <w:szCs w:val="20"/>
        <w:shd w:val="clear" w:color="auto" w:fill="auto"/>
      </w:rPr>
    </w:lvl>
    <w:lvl w:ilvl="6" w:tplc="B7C80522">
      <w:start w:val="1"/>
      <w:numFmt w:val="bullet"/>
      <w:lvlText w:val="·"/>
      <w:lvlJc w:val="left"/>
      <w:pPr>
        <w:ind w:left="5040" w:hanging="360"/>
      </w:pPr>
      <w:rPr>
        <w:rFonts w:ascii="Symbol" w:eastAsia="Symbol" w:hAnsi="Symbol"/>
        <w:w w:val="100"/>
        <w:sz w:val="20"/>
        <w:szCs w:val="20"/>
        <w:shd w:val="clear" w:color="auto" w:fill="auto"/>
      </w:rPr>
    </w:lvl>
    <w:lvl w:ilvl="7" w:tplc="494EBC60">
      <w:start w:val="1"/>
      <w:numFmt w:val="bullet"/>
      <w:lvlText w:val="o"/>
      <w:lvlJc w:val="left"/>
      <w:pPr>
        <w:ind w:left="5760" w:hanging="360"/>
      </w:pPr>
      <w:rPr>
        <w:rFonts w:ascii="Courier New" w:eastAsia="Courier New" w:hAnsi="Courier New"/>
        <w:w w:val="100"/>
        <w:sz w:val="20"/>
        <w:szCs w:val="20"/>
        <w:shd w:val="clear" w:color="auto" w:fill="auto"/>
      </w:rPr>
    </w:lvl>
    <w:lvl w:ilvl="8" w:tplc="4F3E507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1" w15:restartNumberingAfterBreak="0">
    <w:nsid w:val="00000016"/>
    <w:multiLevelType w:val="hybridMultilevel"/>
    <w:tmpl w:val="73517875"/>
    <w:lvl w:ilvl="0" w:tplc="441A28E4">
      <w:start w:val="1"/>
      <w:numFmt w:val="bullet"/>
      <w:lvlText w:val="l"/>
      <w:lvlJc w:val="left"/>
      <w:pPr>
        <w:ind w:left="720" w:hanging="360"/>
      </w:pPr>
      <w:rPr>
        <w:rFonts w:ascii="Wingdings" w:eastAsia="Wingdings" w:hAnsi="Wingdings"/>
        <w:w w:val="100"/>
        <w:sz w:val="18"/>
        <w:szCs w:val="18"/>
        <w:shd w:val="clear" w:color="auto" w:fill="auto"/>
      </w:rPr>
    </w:lvl>
    <w:lvl w:ilvl="1" w:tplc="FAF409E4">
      <w:start w:val="1"/>
      <w:numFmt w:val="bullet"/>
      <w:lvlText w:val="o"/>
      <w:lvlJc w:val="left"/>
      <w:pPr>
        <w:ind w:left="1440" w:hanging="360"/>
      </w:pPr>
      <w:rPr>
        <w:rFonts w:ascii="Courier New" w:eastAsia="Courier New" w:hAnsi="Courier New"/>
        <w:w w:val="100"/>
        <w:sz w:val="20"/>
        <w:szCs w:val="20"/>
        <w:shd w:val="clear" w:color="auto" w:fill="auto"/>
      </w:rPr>
    </w:lvl>
    <w:lvl w:ilvl="2" w:tplc="D1C05EC6">
      <w:start w:val="1"/>
      <w:numFmt w:val="bullet"/>
      <w:lvlText w:val="§"/>
      <w:lvlJc w:val="left"/>
      <w:pPr>
        <w:ind w:left="2160" w:hanging="360"/>
      </w:pPr>
      <w:rPr>
        <w:rFonts w:ascii="Wingdings" w:eastAsia="Wingdings" w:hAnsi="Wingdings"/>
        <w:w w:val="100"/>
        <w:sz w:val="20"/>
        <w:szCs w:val="20"/>
        <w:shd w:val="clear" w:color="auto" w:fill="auto"/>
      </w:rPr>
    </w:lvl>
    <w:lvl w:ilvl="3" w:tplc="496C17DE">
      <w:start w:val="1"/>
      <w:numFmt w:val="bullet"/>
      <w:lvlText w:val="·"/>
      <w:lvlJc w:val="left"/>
      <w:pPr>
        <w:ind w:left="2880" w:hanging="360"/>
      </w:pPr>
      <w:rPr>
        <w:rFonts w:ascii="Symbol" w:eastAsia="Symbol" w:hAnsi="Symbol"/>
        <w:w w:val="100"/>
        <w:sz w:val="20"/>
        <w:szCs w:val="20"/>
        <w:shd w:val="clear" w:color="auto" w:fill="auto"/>
      </w:rPr>
    </w:lvl>
    <w:lvl w:ilvl="4" w:tplc="0FE2B3A6">
      <w:start w:val="1"/>
      <w:numFmt w:val="bullet"/>
      <w:lvlText w:val="o"/>
      <w:lvlJc w:val="left"/>
      <w:pPr>
        <w:ind w:left="3600" w:hanging="360"/>
      </w:pPr>
      <w:rPr>
        <w:rFonts w:ascii="Courier New" w:eastAsia="Courier New" w:hAnsi="Courier New"/>
        <w:w w:val="100"/>
        <w:sz w:val="20"/>
        <w:szCs w:val="20"/>
        <w:shd w:val="clear" w:color="auto" w:fill="auto"/>
      </w:rPr>
    </w:lvl>
    <w:lvl w:ilvl="5" w:tplc="68BA1F58">
      <w:start w:val="1"/>
      <w:numFmt w:val="bullet"/>
      <w:lvlText w:val="§"/>
      <w:lvlJc w:val="left"/>
      <w:pPr>
        <w:ind w:left="4320" w:hanging="360"/>
      </w:pPr>
      <w:rPr>
        <w:rFonts w:ascii="Wingdings" w:eastAsia="Wingdings" w:hAnsi="Wingdings"/>
        <w:w w:val="100"/>
        <w:sz w:val="20"/>
        <w:szCs w:val="20"/>
        <w:shd w:val="clear" w:color="auto" w:fill="auto"/>
      </w:rPr>
    </w:lvl>
    <w:lvl w:ilvl="6" w:tplc="FABCC8C4">
      <w:start w:val="1"/>
      <w:numFmt w:val="bullet"/>
      <w:lvlText w:val="·"/>
      <w:lvlJc w:val="left"/>
      <w:pPr>
        <w:ind w:left="5040" w:hanging="360"/>
      </w:pPr>
      <w:rPr>
        <w:rFonts w:ascii="Symbol" w:eastAsia="Symbol" w:hAnsi="Symbol"/>
        <w:w w:val="100"/>
        <w:sz w:val="20"/>
        <w:szCs w:val="20"/>
        <w:shd w:val="clear" w:color="auto" w:fill="auto"/>
      </w:rPr>
    </w:lvl>
    <w:lvl w:ilvl="7" w:tplc="AC3E6566">
      <w:start w:val="1"/>
      <w:numFmt w:val="bullet"/>
      <w:lvlText w:val="o"/>
      <w:lvlJc w:val="left"/>
      <w:pPr>
        <w:ind w:left="5760" w:hanging="360"/>
      </w:pPr>
      <w:rPr>
        <w:rFonts w:ascii="Courier New" w:eastAsia="Courier New" w:hAnsi="Courier New"/>
        <w:w w:val="100"/>
        <w:sz w:val="20"/>
        <w:szCs w:val="20"/>
        <w:shd w:val="clear" w:color="auto" w:fill="auto"/>
      </w:rPr>
    </w:lvl>
    <w:lvl w:ilvl="8" w:tplc="5FE6978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2" w15:restartNumberingAfterBreak="0">
    <w:nsid w:val="00000017"/>
    <w:multiLevelType w:val="hybridMultilevel"/>
    <w:tmpl w:val="69BB8478"/>
    <w:lvl w:ilvl="0" w:tplc="111A93E0">
      <w:start w:val="1"/>
      <w:numFmt w:val="bullet"/>
      <w:lvlText w:val="·"/>
      <w:lvlJc w:val="left"/>
      <w:pPr>
        <w:ind w:left="720" w:hanging="360"/>
      </w:pPr>
      <w:rPr>
        <w:rFonts w:ascii="Symbol" w:eastAsia="Symbol" w:hAnsi="Symbol"/>
        <w:b w:val="0"/>
        <w:w w:val="100"/>
        <w:sz w:val="18"/>
        <w:szCs w:val="18"/>
        <w:u w:val="none"/>
        <w:shd w:val="clear" w:color="auto" w:fill="auto"/>
      </w:rPr>
    </w:lvl>
    <w:lvl w:ilvl="1" w:tplc="8ED6192C">
      <w:start w:val="1"/>
      <w:numFmt w:val="bullet"/>
      <w:lvlText w:val="o"/>
      <w:lvlJc w:val="left"/>
      <w:pPr>
        <w:ind w:left="1440" w:hanging="360"/>
      </w:pPr>
      <w:rPr>
        <w:rFonts w:ascii="Courier New" w:eastAsia="Courier New" w:hAnsi="Courier New"/>
        <w:w w:val="100"/>
        <w:sz w:val="20"/>
        <w:szCs w:val="20"/>
        <w:shd w:val="clear" w:color="auto" w:fill="auto"/>
      </w:rPr>
    </w:lvl>
    <w:lvl w:ilvl="2" w:tplc="FE140ED4">
      <w:start w:val="1"/>
      <w:numFmt w:val="bullet"/>
      <w:lvlText w:val="§"/>
      <w:lvlJc w:val="left"/>
      <w:pPr>
        <w:ind w:left="2160" w:hanging="360"/>
      </w:pPr>
      <w:rPr>
        <w:rFonts w:ascii="Wingdings" w:eastAsia="Wingdings" w:hAnsi="Wingdings"/>
        <w:w w:val="100"/>
        <w:sz w:val="20"/>
        <w:szCs w:val="20"/>
        <w:shd w:val="clear" w:color="auto" w:fill="auto"/>
      </w:rPr>
    </w:lvl>
    <w:lvl w:ilvl="3" w:tplc="22E64EB6">
      <w:start w:val="1"/>
      <w:numFmt w:val="bullet"/>
      <w:lvlText w:val="·"/>
      <w:lvlJc w:val="left"/>
      <w:pPr>
        <w:ind w:left="2880" w:hanging="360"/>
      </w:pPr>
      <w:rPr>
        <w:rFonts w:ascii="Symbol" w:eastAsia="Symbol" w:hAnsi="Symbol"/>
        <w:w w:val="100"/>
        <w:sz w:val="20"/>
        <w:szCs w:val="20"/>
        <w:shd w:val="clear" w:color="auto" w:fill="auto"/>
      </w:rPr>
    </w:lvl>
    <w:lvl w:ilvl="4" w:tplc="04045226">
      <w:start w:val="1"/>
      <w:numFmt w:val="bullet"/>
      <w:lvlText w:val="o"/>
      <w:lvlJc w:val="left"/>
      <w:pPr>
        <w:ind w:left="3600" w:hanging="360"/>
      </w:pPr>
      <w:rPr>
        <w:rFonts w:ascii="Courier New" w:eastAsia="Courier New" w:hAnsi="Courier New"/>
        <w:w w:val="100"/>
        <w:sz w:val="20"/>
        <w:szCs w:val="20"/>
        <w:shd w:val="clear" w:color="auto" w:fill="auto"/>
      </w:rPr>
    </w:lvl>
    <w:lvl w:ilvl="5" w:tplc="DB5CD342">
      <w:start w:val="1"/>
      <w:numFmt w:val="bullet"/>
      <w:lvlText w:val="§"/>
      <w:lvlJc w:val="left"/>
      <w:pPr>
        <w:ind w:left="4320" w:hanging="360"/>
      </w:pPr>
      <w:rPr>
        <w:rFonts w:ascii="Wingdings" w:eastAsia="Wingdings" w:hAnsi="Wingdings"/>
        <w:w w:val="100"/>
        <w:sz w:val="20"/>
        <w:szCs w:val="20"/>
        <w:shd w:val="clear" w:color="auto" w:fill="auto"/>
      </w:rPr>
    </w:lvl>
    <w:lvl w:ilvl="6" w:tplc="36188D58">
      <w:start w:val="1"/>
      <w:numFmt w:val="bullet"/>
      <w:lvlText w:val="·"/>
      <w:lvlJc w:val="left"/>
      <w:pPr>
        <w:ind w:left="5040" w:hanging="360"/>
      </w:pPr>
      <w:rPr>
        <w:rFonts w:ascii="Symbol" w:eastAsia="Symbol" w:hAnsi="Symbol"/>
        <w:w w:val="100"/>
        <w:sz w:val="20"/>
        <w:szCs w:val="20"/>
        <w:shd w:val="clear" w:color="auto" w:fill="auto"/>
      </w:rPr>
    </w:lvl>
    <w:lvl w:ilvl="7" w:tplc="F914022C">
      <w:start w:val="1"/>
      <w:numFmt w:val="bullet"/>
      <w:lvlText w:val="o"/>
      <w:lvlJc w:val="left"/>
      <w:pPr>
        <w:ind w:left="5760" w:hanging="360"/>
      </w:pPr>
      <w:rPr>
        <w:rFonts w:ascii="Courier New" w:eastAsia="Courier New" w:hAnsi="Courier New"/>
        <w:w w:val="100"/>
        <w:sz w:val="20"/>
        <w:szCs w:val="20"/>
        <w:shd w:val="clear" w:color="auto" w:fill="auto"/>
      </w:rPr>
    </w:lvl>
    <w:lvl w:ilvl="8" w:tplc="AA44762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3" w15:restartNumberingAfterBreak="0">
    <w:nsid w:val="00000018"/>
    <w:multiLevelType w:val="hybridMultilevel"/>
    <w:tmpl w:val="15F61883"/>
    <w:lvl w:ilvl="0" w:tplc="73701306">
      <w:start w:val="1"/>
      <w:numFmt w:val="bullet"/>
      <w:lvlText w:val="·"/>
      <w:lvlJc w:val="left"/>
      <w:pPr>
        <w:ind w:left="720" w:hanging="360"/>
      </w:pPr>
      <w:rPr>
        <w:rFonts w:ascii="Symbol" w:eastAsia="Symbol" w:hAnsi="Symbol"/>
        <w:b w:val="0"/>
        <w:w w:val="100"/>
        <w:sz w:val="18"/>
        <w:szCs w:val="18"/>
        <w:u w:val="none"/>
        <w:shd w:val="clear" w:color="auto" w:fill="auto"/>
      </w:rPr>
    </w:lvl>
    <w:lvl w:ilvl="1" w:tplc="4F2CB800">
      <w:start w:val="1"/>
      <w:numFmt w:val="bullet"/>
      <w:lvlText w:val="o"/>
      <w:lvlJc w:val="left"/>
      <w:pPr>
        <w:ind w:left="1440" w:hanging="360"/>
      </w:pPr>
      <w:rPr>
        <w:rFonts w:ascii="Courier New" w:eastAsia="Courier New" w:hAnsi="Courier New"/>
        <w:w w:val="100"/>
        <w:sz w:val="20"/>
        <w:szCs w:val="20"/>
        <w:shd w:val="clear" w:color="auto" w:fill="auto"/>
      </w:rPr>
    </w:lvl>
    <w:lvl w:ilvl="2" w:tplc="8F486166">
      <w:start w:val="1"/>
      <w:numFmt w:val="bullet"/>
      <w:lvlText w:val="§"/>
      <w:lvlJc w:val="left"/>
      <w:pPr>
        <w:ind w:left="2160" w:hanging="360"/>
      </w:pPr>
      <w:rPr>
        <w:rFonts w:ascii="Wingdings" w:eastAsia="Wingdings" w:hAnsi="Wingdings"/>
        <w:w w:val="100"/>
        <w:sz w:val="20"/>
        <w:szCs w:val="20"/>
        <w:shd w:val="clear" w:color="auto" w:fill="auto"/>
      </w:rPr>
    </w:lvl>
    <w:lvl w:ilvl="3" w:tplc="167E627C">
      <w:start w:val="1"/>
      <w:numFmt w:val="bullet"/>
      <w:lvlText w:val="·"/>
      <w:lvlJc w:val="left"/>
      <w:pPr>
        <w:ind w:left="2880" w:hanging="360"/>
      </w:pPr>
      <w:rPr>
        <w:rFonts w:ascii="Symbol" w:eastAsia="Symbol" w:hAnsi="Symbol"/>
        <w:w w:val="100"/>
        <w:sz w:val="20"/>
        <w:szCs w:val="20"/>
        <w:shd w:val="clear" w:color="auto" w:fill="auto"/>
      </w:rPr>
    </w:lvl>
    <w:lvl w:ilvl="4" w:tplc="CB38C930">
      <w:start w:val="1"/>
      <w:numFmt w:val="bullet"/>
      <w:lvlText w:val="o"/>
      <w:lvlJc w:val="left"/>
      <w:pPr>
        <w:ind w:left="3600" w:hanging="360"/>
      </w:pPr>
      <w:rPr>
        <w:rFonts w:ascii="Courier New" w:eastAsia="Courier New" w:hAnsi="Courier New"/>
        <w:w w:val="100"/>
        <w:sz w:val="20"/>
        <w:szCs w:val="20"/>
        <w:shd w:val="clear" w:color="auto" w:fill="auto"/>
      </w:rPr>
    </w:lvl>
    <w:lvl w:ilvl="5" w:tplc="AD621E12">
      <w:start w:val="1"/>
      <w:numFmt w:val="bullet"/>
      <w:lvlText w:val="§"/>
      <w:lvlJc w:val="left"/>
      <w:pPr>
        <w:ind w:left="4320" w:hanging="360"/>
      </w:pPr>
      <w:rPr>
        <w:rFonts w:ascii="Wingdings" w:eastAsia="Wingdings" w:hAnsi="Wingdings"/>
        <w:w w:val="100"/>
        <w:sz w:val="20"/>
        <w:szCs w:val="20"/>
        <w:shd w:val="clear" w:color="auto" w:fill="auto"/>
      </w:rPr>
    </w:lvl>
    <w:lvl w:ilvl="6" w:tplc="E80E0F58">
      <w:start w:val="1"/>
      <w:numFmt w:val="bullet"/>
      <w:lvlText w:val="·"/>
      <w:lvlJc w:val="left"/>
      <w:pPr>
        <w:ind w:left="5040" w:hanging="360"/>
      </w:pPr>
      <w:rPr>
        <w:rFonts w:ascii="Symbol" w:eastAsia="Symbol" w:hAnsi="Symbol"/>
        <w:w w:val="100"/>
        <w:sz w:val="20"/>
        <w:szCs w:val="20"/>
        <w:shd w:val="clear" w:color="auto" w:fill="auto"/>
      </w:rPr>
    </w:lvl>
    <w:lvl w:ilvl="7" w:tplc="08CCC1F8">
      <w:start w:val="1"/>
      <w:numFmt w:val="bullet"/>
      <w:lvlText w:val="o"/>
      <w:lvlJc w:val="left"/>
      <w:pPr>
        <w:ind w:left="5760" w:hanging="360"/>
      </w:pPr>
      <w:rPr>
        <w:rFonts w:ascii="Courier New" w:eastAsia="Courier New" w:hAnsi="Courier New"/>
        <w:w w:val="100"/>
        <w:sz w:val="20"/>
        <w:szCs w:val="20"/>
        <w:shd w:val="clear" w:color="auto" w:fill="auto"/>
      </w:rPr>
    </w:lvl>
    <w:lvl w:ilvl="8" w:tplc="D23008E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15:restartNumberingAfterBreak="0">
    <w:nsid w:val="038A7AEB"/>
    <w:multiLevelType w:val="hybridMultilevel"/>
    <w:tmpl w:val="4A861B0E"/>
    <w:lvl w:ilvl="0" w:tplc="E41490F6">
      <w:start w:val="1"/>
      <w:numFmt w:val="bullet"/>
      <w:lvlText w:val="·"/>
      <w:lvlJc w:val="left"/>
      <w:pPr>
        <w:ind w:left="1080" w:hanging="360"/>
      </w:pPr>
      <w:rPr>
        <w:rFonts w:ascii="Symbol" w:eastAsia="Symbol" w:hAnsi="Symbol"/>
        <w:w w:val="100"/>
        <w:sz w:val="20"/>
        <w:szCs w:val="20"/>
        <w:shd w:val="clear" w:color="auto" w:fill="auto"/>
      </w:rPr>
    </w:lvl>
    <w:lvl w:ilvl="1" w:tplc="DADCEA4E">
      <w:start w:val="1"/>
      <w:numFmt w:val="bullet"/>
      <w:lvlText w:val="o"/>
      <w:lvlJc w:val="left"/>
      <w:pPr>
        <w:ind w:left="1800" w:hanging="360"/>
      </w:pPr>
      <w:rPr>
        <w:rFonts w:ascii="Courier New" w:eastAsia="Courier New" w:hAnsi="Courier New"/>
        <w:w w:val="100"/>
        <w:sz w:val="20"/>
        <w:szCs w:val="20"/>
        <w:shd w:val="clear" w:color="auto" w:fill="auto"/>
      </w:rPr>
    </w:lvl>
    <w:lvl w:ilvl="2" w:tplc="628AD474">
      <w:start w:val="1"/>
      <w:numFmt w:val="bullet"/>
      <w:lvlText w:val="§"/>
      <w:lvlJc w:val="left"/>
      <w:pPr>
        <w:ind w:left="2520" w:hanging="360"/>
      </w:pPr>
      <w:rPr>
        <w:rFonts w:ascii="Wingdings" w:eastAsia="Wingdings" w:hAnsi="Wingdings"/>
        <w:w w:val="100"/>
        <w:sz w:val="20"/>
        <w:szCs w:val="20"/>
        <w:shd w:val="clear" w:color="auto" w:fill="auto"/>
      </w:rPr>
    </w:lvl>
    <w:lvl w:ilvl="3" w:tplc="166EEBE2">
      <w:start w:val="1"/>
      <w:numFmt w:val="bullet"/>
      <w:lvlText w:val="·"/>
      <w:lvlJc w:val="left"/>
      <w:pPr>
        <w:ind w:left="3240" w:hanging="360"/>
      </w:pPr>
      <w:rPr>
        <w:rFonts w:ascii="Symbol" w:eastAsia="Symbol" w:hAnsi="Symbol"/>
        <w:w w:val="100"/>
        <w:sz w:val="20"/>
        <w:szCs w:val="20"/>
        <w:shd w:val="clear" w:color="auto" w:fill="auto"/>
      </w:rPr>
    </w:lvl>
    <w:lvl w:ilvl="4" w:tplc="D8E09620">
      <w:start w:val="1"/>
      <w:numFmt w:val="bullet"/>
      <w:lvlText w:val="o"/>
      <w:lvlJc w:val="left"/>
      <w:pPr>
        <w:ind w:left="3960" w:hanging="360"/>
      </w:pPr>
      <w:rPr>
        <w:rFonts w:ascii="Courier New" w:eastAsia="Courier New" w:hAnsi="Courier New"/>
        <w:w w:val="100"/>
        <w:sz w:val="20"/>
        <w:szCs w:val="20"/>
        <w:shd w:val="clear" w:color="auto" w:fill="auto"/>
      </w:rPr>
    </w:lvl>
    <w:lvl w:ilvl="5" w:tplc="C77ED4C4">
      <w:start w:val="1"/>
      <w:numFmt w:val="bullet"/>
      <w:lvlText w:val="§"/>
      <w:lvlJc w:val="left"/>
      <w:pPr>
        <w:ind w:left="4680" w:hanging="360"/>
      </w:pPr>
      <w:rPr>
        <w:rFonts w:ascii="Wingdings" w:eastAsia="Wingdings" w:hAnsi="Wingdings"/>
        <w:w w:val="100"/>
        <w:sz w:val="20"/>
        <w:szCs w:val="20"/>
        <w:shd w:val="clear" w:color="auto" w:fill="auto"/>
      </w:rPr>
    </w:lvl>
    <w:lvl w:ilvl="6" w:tplc="EA72DBA6">
      <w:start w:val="1"/>
      <w:numFmt w:val="bullet"/>
      <w:lvlText w:val="·"/>
      <w:lvlJc w:val="left"/>
      <w:pPr>
        <w:ind w:left="5400" w:hanging="360"/>
      </w:pPr>
      <w:rPr>
        <w:rFonts w:ascii="Symbol" w:eastAsia="Symbol" w:hAnsi="Symbol"/>
        <w:w w:val="100"/>
        <w:sz w:val="20"/>
        <w:szCs w:val="20"/>
        <w:shd w:val="clear" w:color="auto" w:fill="auto"/>
      </w:rPr>
    </w:lvl>
    <w:lvl w:ilvl="7" w:tplc="F0708FFE">
      <w:start w:val="1"/>
      <w:numFmt w:val="bullet"/>
      <w:lvlText w:val="o"/>
      <w:lvlJc w:val="left"/>
      <w:pPr>
        <w:ind w:left="6120" w:hanging="360"/>
      </w:pPr>
      <w:rPr>
        <w:rFonts w:ascii="Courier New" w:eastAsia="Courier New" w:hAnsi="Courier New"/>
        <w:w w:val="100"/>
        <w:sz w:val="20"/>
        <w:szCs w:val="20"/>
        <w:shd w:val="clear" w:color="auto" w:fill="auto"/>
      </w:rPr>
    </w:lvl>
    <w:lvl w:ilvl="8" w:tplc="A9F23EAE">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25" w15:restartNumberingAfterBreak="0">
    <w:nsid w:val="471D5A6D"/>
    <w:multiLevelType w:val="hybridMultilevel"/>
    <w:tmpl w:val="962ED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B753B6"/>
    <w:multiLevelType w:val="hybridMultilevel"/>
    <w:tmpl w:val="E920EFC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BC30A8B"/>
    <w:multiLevelType w:val="hybridMultilevel"/>
    <w:tmpl w:val="7E54D98E"/>
    <w:lvl w:ilvl="0" w:tplc="04130003">
      <w:start w:val="1"/>
      <w:numFmt w:val="bullet"/>
      <w:lvlText w:val="o"/>
      <w:lvlJc w:val="left"/>
      <w:pPr>
        <w:ind w:left="720" w:hanging="360"/>
      </w:pPr>
      <w:rPr>
        <w:rFonts w:ascii="Courier New" w:hAnsi="Courier New" w:cs="Courier New" w:hint="default"/>
        <w:w w:val="100"/>
        <w:sz w:val="20"/>
        <w:szCs w:val="20"/>
        <w:shd w:val="clear" w:color="auto" w:fill="auto"/>
      </w:rPr>
    </w:lvl>
    <w:lvl w:ilvl="1" w:tplc="6922BEF4">
      <w:start w:val="1"/>
      <w:numFmt w:val="decimal"/>
      <w:lvlText w:val="%2."/>
      <w:lvlJc w:val="left"/>
      <w:pPr>
        <w:ind w:left="1070" w:hanging="360"/>
      </w:pPr>
    </w:lvl>
    <w:lvl w:ilvl="2" w:tplc="334090D0">
      <w:start w:val="1"/>
      <w:numFmt w:val="bullet"/>
      <w:lvlText w:val="§"/>
      <w:lvlJc w:val="left"/>
      <w:pPr>
        <w:ind w:left="2520" w:hanging="360"/>
      </w:pPr>
      <w:rPr>
        <w:rFonts w:ascii="Wingdings" w:eastAsia="Wingdings" w:hAnsi="Wingdings"/>
        <w:w w:val="100"/>
        <w:sz w:val="20"/>
        <w:szCs w:val="20"/>
        <w:shd w:val="clear" w:color="auto" w:fill="auto"/>
      </w:rPr>
    </w:lvl>
    <w:lvl w:ilvl="3" w:tplc="DF2AECCE">
      <w:start w:val="1"/>
      <w:numFmt w:val="bullet"/>
      <w:lvlText w:val="·"/>
      <w:lvlJc w:val="left"/>
      <w:pPr>
        <w:ind w:left="3240" w:hanging="360"/>
      </w:pPr>
      <w:rPr>
        <w:rFonts w:ascii="Symbol" w:eastAsia="Symbol" w:hAnsi="Symbol"/>
        <w:w w:val="100"/>
        <w:sz w:val="20"/>
        <w:szCs w:val="20"/>
        <w:shd w:val="clear" w:color="auto" w:fill="auto"/>
      </w:rPr>
    </w:lvl>
    <w:lvl w:ilvl="4" w:tplc="192CEF1C">
      <w:start w:val="1"/>
      <w:numFmt w:val="bullet"/>
      <w:lvlText w:val="o"/>
      <w:lvlJc w:val="left"/>
      <w:pPr>
        <w:ind w:left="3960" w:hanging="360"/>
      </w:pPr>
      <w:rPr>
        <w:rFonts w:ascii="Courier New" w:eastAsia="Courier New" w:hAnsi="Courier New"/>
        <w:w w:val="100"/>
        <w:sz w:val="20"/>
        <w:szCs w:val="20"/>
        <w:shd w:val="clear" w:color="auto" w:fill="auto"/>
      </w:rPr>
    </w:lvl>
    <w:lvl w:ilvl="5" w:tplc="9E3AA006">
      <w:start w:val="1"/>
      <w:numFmt w:val="bullet"/>
      <w:lvlText w:val="§"/>
      <w:lvlJc w:val="left"/>
      <w:pPr>
        <w:ind w:left="4680" w:hanging="360"/>
      </w:pPr>
      <w:rPr>
        <w:rFonts w:ascii="Wingdings" w:eastAsia="Wingdings" w:hAnsi="Wingdings"/>
        <w:w w:val="100"/>
        <w:sz w:val="20"/>
        <w:szCs w:val="20"/>
        <w:shd w:val="clear" w:color="auto" w:fill="auto"/>
      </w:rPr>
    </w:lvl>
    <w:lvl w:ilvl="6" w:tplc="82B28436">
      <w:start w:val="1"/>
      <w:numFmt w:val="bullet"/>
      <w:lvlText w:val="·"/>
      <w:lvlJc w:val="left"/>
      <w:pPr>
        <w:ind w:left="5400" w:hanging="360"/>
      </w:pPr>
      <w:rPr>
        <w:rFonts w:ascii="Symbol" w:eastAsia="Symbol" w:hAnsi="Symbol"/>
        <w:w w:val="100"/>
        <w:sz w:val="20"/>
        <w:szCs w:val="20"/>
        <w:shd w:val="clear" w:color="auto" w:fill="auto"/>
      </w:rPr>
    </w:lvl>
    <w:lvl w:ilvl="7" w:tplc="8F94B37C">
      <w:start w:val="1"/>
      <w:numFmt w:val="bullet"/>
      <w:lvlText w:val="o"/>
      <w:lvlJc w:val="left"/>
      <w:pPr>
        <w:ind w:left="6120" w:hanging="360"/>
      </w:pPr>
      <w:rPr>
        <w:rFonts w:ascii="Courier New" w:eastAsia="Courier New" w:hAnsi="Courier New"/>
        <w:w w:val="100"/>
        <w:sz w:val="20"/>
        <w:szCs w:val="20"/>
        <w:shd w:val="clear" w:color="auto" w:fill="auto"/>
      </w:rPr>
    </w:lvl>
    <w:lvl w:ilvl="8" w:tplc="2938CA98">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28" w15:restartNumberingAfterBreak="0">
    <w:nsid w:val="69E11D4A"/>
    <w:multiLevelType w:val="hybridMultilevel"/>
    <w:tmpl w:val="E920EFC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9"/>
  </w:num>
  <w:num w:numId="5">
    <w:abstractNumId w:val="14"/>
  </w:num>
  <w:num w:numId="6">
    <w:abstractNumId w:val="15"/>
  </w:num>
  <w:num w:numId="7">
    <w:abstractNumId w:val="3"/>
  </w:num>
  <w:num w:numId="8">
    <w:abstractNumId w:val="5"/>
  </w:num>
  <w:num w:numId="9">
    <w:abstractNumId w:val="12"/>
  </w:num>
  <w:num w:numId="10">
    <w:abstractNumId w:val="13"/>
  </w:num>
  <w:num w:numId="11">
    <w:abstractNumId w:val="0"/>
  </w:num>
  <w:num w:numId="12">
    <w:abstractNumId w:val="1"/>
  </w:num>
  <w:num w:numId="13">
    <w:abstractNumId w:val="16"/>
  </w:num>
  <w:num w:numId="14">
    <w:abstractNumId w:val="8"/>
  </w:num>
  <w:num w:numId="15">
    <w:abstractNumId w:val="6"/>
  </w:num>
  <w:num w:numId="16">
    <w:abstractNumId w:val="24"/>
  </w:num>
  <w:num w:numId="17">
    <w:abstractNumId w:val="2"/>
  </w:num>
  <w:num w:numId="18">
    <w:abstractNumId w:val="11"/>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5"/>
  </w:num>
  <w:num w:numId="27">
    <w:abstractNumId w:val="27"/>
  </w:num>
  <w:num w:numId="28">
    <w:abstractNumId w:val="2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2"/>
  </w:compat>
  <w:rsids>
    <w:rsidRoot w:val="00186BB1"/>
    <w:rsid w:val="00071C3A"/>
    <w:rsid w:val="000A03E1"/>
    <w:rsid w:val="00135381"/>
    <w:rsid w:val="00140307"/>
    <w:rsid w:val="00186BB1"/>
    <w:rsid w:val="001D43F0"/>
    <w:rsid w:val="00236C17"/>
    <w:rsid w:val="00285F59"/>
    <w:rsid w:val="00315D89"/>
    <w:rsid w:val="00382A59"/>
    <w:rsid w:val="00504C4A"/>
    <w:rsid w:val="0059691B"/>
    <w:rsid w:val="005B42C5"/>
    <w:rsid w:val="00622498"/>
    <w:rsid w:val="00720546"/>
    <w:rsid w:val="00790E26"/>
    <w:rsid w:val="00812D33"/>
    <w:rsid w:val="00841844"/>
    <w:rsid w:val="008A783A"/>
    <w:rsid w:val="009507A9"/>
    <w:rsid w:val="00954552"/>
    <w:rsid w:val="009B6C4A"/>
    <w:rsid w:val="00A2794A"/>
    <w:rsid w:val="00A8645A"/>
    <w:rsid w:val="00B26F8B"/>
    <w:rsid w:val="00C46903"/>
    <w:rsid w:val="00D46CC5"/>
    <w:rsid w:val="00D513CE"/>
    <w:rsid w:val="00E01E4B"/>
    <w:rsid w:val="00F30D10"/>
    <w:rsid w:val="00F74E1C"/>
    <w:rsid w:val="00FB1D2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81B2F1"/>
  <w15:docId w15:val="{AE706530-5576-4F5C-96FC-6166FE60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sz w:val="18"/>
        <w:szCs w:val="18"/>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next w:val="Standaard"/>
    <w:link w:val="Kop1Char"/>
    <w:uiPriority w:val="7"/>
    <w:qFormat/>
    <w:pPr>
      <w:outlineLvl w:val="0"/>
    </w:pPr>
    <w:rPr>
      <w:rFonts w:ascii="Arial" w:hAnsi="Arial"/>
      <w:b/>
      <w:color w:val="000000"/>
      <w:sz w:val="16"/>
      <w:szCs w:val="16"/>
    </w:rPr>
  </w:style>
  <w:style w:type="paragraph" w:styleId="Kop2">
    <w:name w:val="heading 2"/>
    <w:basedOn w:val="Standaard"/>
    <w:next w:val="Standaard"/>
    <w:link w:val="Kop2Char"/>
    <w:uiPriority w:val="8"/>
    <w:unhideWhenUsed/>
    <w:qFormat/>
    <w:pPr>
      <w:outlineLvl w:val="1"/>
    </w:pPr>
    <w:rPr>
      <w:rFonts w:ascii="Arial" w:hAnsi="Arial"/>
      <w:b/>
      <w:color w:val="000000"/>
      <w:sz w:val="16"/>
      <w:szCs w:val="16"/>
    </w:rPr>
  </w:style>
  <w:style w:type="paragraph" w:styleId="Kop3">
    <w:name w:val="heading 3"/>
    <w:basedOn w:val="Kop1"/>
    <w:next w:val="Standaard"/>
    <w:link w:val="Kop3Char"/>
    <w:uiPriority w:val="9"/>
    <w:unhideWhenUsed/>
    <w:qFormat/>
    <w:pPr>
      <w:jc w:val="cente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26"/>
    <w:qFormat/>
    <w:pPr>
      <w:ind w:left="720"/>
    </w:pPr>
  </w:style>
  <w:style w:type="paragraph" w:styleId="Inhopg1">
    <w:name w:val="toc 1"/>
    <w:basedOn w:val="Standaard"/>
    <w:next w:val="Standaard"/>
    <w:uiPriority w:val="28"/>
    <w:semiHidden/>
    <w:unhideWhenUsed/>
    <w:qFormat/>
    <w:rPr>
      <w:sz w:val="20"/>
      <w:szCs w:val="20"/>
    </w:rPr>
  </w:style>
  <w:style w:type="paragraph" w:styleId="Inhopg2">
    <w:name w:val="toc 2"/>
    <w:basedOn w:val="Standaard"/>
    <w:next w:val="Standaard"/>
    <w:uiPriority w:val="29"/>
    <w:semiHidden/>
    <w:unhideWhenUsed/>
    <w:qFormat/>
    <w:pPr>
      <w:ind w:left="181"/>
    </w:pPr>
    <w:rPr>
      <w:sz w:val="20"/>
      <w:szCs w:val="20"/>
    </w:rPr>
  </w:style>
  <w:style w:type="paragraph" w:styleId="Inhopg3">
    <w:name w:val="toc 3"/>
    <w:basedOn w:val="Standaard"/>
    <w:next w:val="Standaard"/>
    <w:uiPriority w:val="30"/>
    <w:semiHidden/>
    <w:unhideWhenUsed/>
    <w:qFormat/>
    <w:pPr>
      <w:ind w:left="357"/>
    </w:pPr>
    <w:rPr>
      <w:sz w:val="20"/>
      <w:szCs w:val="20"/>
    </w:rPr>
  </w:style>
  <w:style w:type="paragraph" w:styleId="Inhopg4">
    <w:name w:val="toc 4"/>
    <w:basedOn w:val="Standaard"/>
    <w:next w:val="Standaard"/>
    <w:uiPriority w:val="31"/>
    <w:semiHidden/>
    <w:unhideWhenUsed/>
    <w:pPr>
      <w:ind w:left="539"/>
    </w:pPr>
    <w:rPr>
      <w:sz w:val="20"/>
      <w:szCs w:val="20"/>
    </w:rPr>
  </w:style>
  <w:style w:type="table" w:styleId="Tabelraster">
    <w:name w:val="Table Grid"/>
    <w:basedOn w:val="Standaardtabel"/>
    <w:uiPriority w:val="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Pr>
      <w:rFonts w:ascii="Calibri" w:hAnsi="Calibri"/>
      <w:sz w:val="20"/>
      <w:szCs w:val="20"/>
    </w:rPr>
  </w:style>
  <w:style w:type="character" w:customStyle="1" w:styleId="VoetnoottekstChar">
    <w:name w:val="Voetnoottekst Char"/>
    <w:basedOn w:val="Standaardalinea-lettertype"/>
    <w:link w:val="Voetnoottekst"/>
    <w:rPr>
      <w:rFonts w:ascii="Calibri" w:eastAsia="Calibri" w:hAnsi="Calibri"/>
      <w:w w:val="100"/>
      <w:sz w:val="20"/>
      <w:szCs w:val="20"/>
      <w:shd w:val="clear" w:color="auto" w:fill="auto"/>
    </w:rPr>
  </w:style>
  <w:style w:type="character" w:styleId="Voetnootmarkering">
    <w:name w:val="footnote reference"/>
    <w:basedOn w:val="Standaardalinea-lettertype"/>
    <w:unhideWhenUsed/>
    <w:rPr>
      <w:w w:val="100"/>
      <w:sz w:val="20"/>
      <w:szCs w:val="20"/>
      <w:shd w:val="clear" w:color="auto" w:fill="auto"/>
      <w:vertAlign w:val="superscript"/>
    </w:rPr>
  </w:style>
  <w:style w:type="paragraph" w:styleId="Koptekst">
    <w:name w:val="header"/>
    <w:basedOn w:val="Standaard"/>
    <w:link w:val="KoptekstChar"/>
    <w:unhideWhenUsed/>
    <w:pPr>
      <w:tabs>
        <w:tab w:val="center" w:pos="4513"/>
        <w:tab w:val="right" w:pos="9026"/>
      </w:tabs>
    </w:pPr>
  </w:style>
  <w:style w:type="character" w:customStyle="1" w:styleId="KoptekstChar">
    <w:name w:val="Koptekst Char"/>
    <w:basedOn w:val="Standaardalinea-lettertype"/>
    <w:link w:val="Koptekst"/>
  </w:style>
  <w:style w:type="paragraph" w:styleId="Voettekst">
    <w:name w:val="footer"/>
    <w:basedOn w:val="Standaard"/>
    <w:link w:val="VoettekstChar"/>
    <w:unhideWhenUsed/>
    <w:pPr>
      <w:tabs>
        <w:tab w:val="center" w:pos="4513"/>
        <w:tab w:val="right" w:pos="9026"/>
      </w:tabs>
    </w:pPr>
  </w:style>
  <w:style w:type="character" w:customStyle="1" w:styleId="VoettekstChar">
    <w:name w:val="Voettekst Char"/>
    <w:basedOn w:val="Standaardalinea-lettertype"/>
    <w:link w:val="Voettekst"/>
  </w:style>
  <w:style w:type="character" w:styleId="Hyperlink">
    <w:name w:val="Hyperlink"/>
    <w:basedOn w:val="Standaardalinea-lettertype"/>
    <w:unhideWhenUsed/>
    <w:rPr>
      <w:color w:val="0563C1" w:themeColor="hyperlink"/>
      <w:w w:val="100"/>
      <w:sz w:val="20"/>
      <w:szCs w:val="20"/>
      <w:u w:val="single"/>
      <w:shd w:val="clear" w:color="auto" w:fill="auto"/>
    </w:rPr>
  </w:style>
  <w:style w:type="character" w:customStyle="1" w:styleId="Kop1Char">
    <w:name w:val="Kop 1 Char"/>
    <w:basedOn w:val="Standaardalinea-lettertype"/>
    <w:link w:val="Kop1"/>
    <w:rPr>
      <w:rFonts w:ascii="Arial" w:eastAsia="Calibri" w:hAnsi="Arial"/>
      <w:b/>
      <w:color w:val="000000"/>
      <w:w w:val="100"/>
      <w:sz w:val="16"/>
      <w:szCs w:val="16"/>
      <w:shd w:val="clear" w:color="auto" w:fill="auto"/>
    </w:rPr>
  </w:style>
  <w:style w:type="character" w:customStyle="1" w:styleId="Kop2Char">
    <w:name w:val="Kop 2 Char"/>
    <w:basedOn w:val="Standaardalinea-lettertype"/>
    <w:link w:val="Kop2"/>
    <w:rPr>
      <w:rFonts w:ascii="Arial" w:eastAsia="Calibri" w:hAnsi="Arial"/>
      <w:b/>
      <w:color w:val="000000"/>
      <w:w w:val="100"/>
      <w:sz w:val="16"/>
      <w:szCs w:val="16"/>
      <w:shd w:val="clear" w:color="auto" w:fill="auto"/>
    </w:rPr>
  </w:style>
  <w:style w:type="character" w:customStyle="1" w:styleId="Kop3Char">
    <w:name w:val="Kop 3 Char"/>
    <w:basedOn w:val="Standaardalinea-lettertype"/>
    <w:link w:val="Kop3"/>
    <w:rPr>
      <w:rFonts w:ascii="Arial" w:eastAsia="Calibri" w:hAnsi="Arial"/>
      <w:b/>
      <w:color w:val="000000"/>
      <w:w w:val="100"/>
      <w:sz w:val="16"/>
      <w:szCs w:val="16"/>
      <w:shd w:val="clear" w:color="auto" w:fill="auto"/>
    </w:rPr>
  </w:style>
  <w:style w:type="character" w:styleId="Verwijzingopmerking">
    <w:name w:val="annotation reference"/>
    <w:basedOn w:val="Standaardalinea-lettertype"/>
    <w:semiHidden/>
    <w:unhideWhenUsed/>
    <w:rPr>
      <w:w w:val="100"/>
      <w:sz w:val="16"/>
      <w:szCs w:val="16"/>
      <w:shd w:val="clear" w:color="auto" w:fill="auto"/>
    </w:rPr>
  </w:style>
  <w:style w:type="paragraph" w:styleId="Tekstopmerking">
    <w:name w:val="annotation text"/>
    <w:basedOn w:val="Standaard"/>
    <w:link w:val="TekstopmerkingChar"/>
    <w:semiHidden/>
    <w:unhideWhenUsed/>
    <w:rPr>
      <w:rFonts w:ascii="Calibri" w:hAnsi="Calibri"/>
      <w:sz w:val="20"/>
      <w:szCs w:val="20"/>
    </w:rPr>
  </w:style>
  <w:style w:type="character" w:customStyle="1" w:styleId="TekstopmerkingChar">
    <w:name w:val="Tekst opmerking Char"/>
    <w:basedOn w:val="Standaardalinea-lettertype"/>
    <w:link w:val="Tekstopmerking"/>
    <w:semiHidden/>
    <w:rPr>
      <w:rFonts w:ascii="Calibri" w:eastAsia="Calibri" w:hAnsi="Calibri"/>
      <w:w w:val="100"/>
      <w:sz w:val="20"/>
      <w:szCs w:val="20"/>
      <w:shd w:val="clear" w:color="auto" w:fill="auto"/>
    </w:rPr>
  </w:style>
  <w:style w:type="paragraph" w:styleId="Onderwerpvanopmerking">
    <w:name w:val="annotation subject"/>
    <w:basedOn w:val="Tekstopmerking"/>
    <w:next w:val="Tekstopmerking"/>
    <w:link w:val="OnderwerpvanopmerkingChar"/>
    <w:semiHidden/>
    <w:unhideWhenUsed/>
    <w:rPr>
      <w:b/>
    </w:rPr>
  </w:style>
  <w:style w:type="character" w:customStyle="1" w:styleId="OnderwerpvanopmerkingChar">
    <w:name w:val="Onderwerp van opmerking Char"/>
    <w:basedOn w:val="TekstopmerkingChar"/>
    <w:link w:val="Onderwerpvanopmerking"/>
    <w:semiHidden/>
    <w:rPr>
      <w:rFonts w:ascii="Calibri" w:eastAsia="Calibri" w:hAnsi="Calibri"/>
      <w:b/>
      <w:w w:val="100"/>
      <w:sz w:val="20"/>
      <w:szCs w:val="20"/>
      <w:shd w:val="clear" w:color="auto" w:fill="auto"/>
    </w:rPr>
  </w:style>
  <w:style w:type="paragraph" w:styleId="Ballontekst">
    <w:name w:val="Balloon Text"/>
    <w:basedOn w:val="Standaard"/>
    <w:link w:val="BallontekstChar"/>
    <w:semiHidden/>
    <w:unhideWhenUsed/>
    <w:rPr>
      <w:rFonts w:ascii="Tahoma" w:eastAsia="Tahoma" w:hAnsi="Tahoma"/>
      <w:sz w:val="16"/>
      <w:szCs w:val="16"/>
    </w:rPr>
  </w:style>
  <w:style w:type="character" w:customStyle="1" w:styleId="BallontekstChar">
    <w:name w:val="Ballontekst Char"/>
    <w:basedOn w:val="Standaardalinea-lettertype"/>
    <w:link w:val="Ballontekst"/>
    <w:semiHidden/>
    <w:rPr>
      <w:rFonts w:ascii="Tahoma" w:eastAsia="Tahoma" w:hAnsi="Tahoma"/>
      <w:w w:val="100"/>
      <w:sz w:val="16"/>
      <w:szCs w:val="16"/>
      <w:shd w:val="clear" w:color="auto" w:fill="auto"/>
    </w:rPr>
  </w:style>
  <w:style w:type="character" w:styleId="GevolgdeHyperlink">
    <w:name w:val="FollowedHyperlink"/>
    <w:basedOn w:val="Standaardalinea-lettertype"/>
    <w:semiHidden/>
    <w:unhideWhenUsed/>
    <w:rPr>
      <w:color w:val="954F72" w:themeColor="followedHyperlink"/>
      <w:w w:val="100"/>
      <w:sz w:val="20"/>
      <w:szCs w:val="20"/>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7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A50FB-94AA-4587-BC5F-CE32E5D4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6123</Words>
  <Characters>33680</Characters>
  <Application>Microsoft Office Word</Application>
  <DocSecurity>4</DocSecurity>
  <Lines>280</Lines>
  <Paragraphs>79</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Title text</vt:lpstr>
    </vt:vector>
  </TitlesOfParts>
  <Company>Rijksoverheid</Company>
  <LinksUpToDate>false</LinksUpToDate>
  <CharactersWithSpaces>39724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Veen, Gabriëlle van</dc:creator>
  <cp:lastModifiedBy>Veen, Gabriëlle van</cp:lastModifiedBy>
  <cp:revision>2</cp:revision>
  <dcterms:created xsi:type="dcterms:W3CDTF">2018-01-09T15:38:00Z</dcterms:created>
  <dcterms:modified xsi:type="dcterms:W3CDTF">2018-01-09T15:38:00Z</dcterms:modified>
</cp:coreProperties>
</file>