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B60B" w14:textId="085BC6AD" w:rsidR="005D070F" w:rsidRDefault="00866C22">
      <w:pPr>
        <w:rPr>
          <w:b/>
          <w:bCs/>
        </w:rPr>
      </w:pPr>
      <w:r w:rsidRPr="005F0F4F">
        <w:rPr>
          <w:b/>
          <w:bCs/>
        </w:rPr>
        <w:t>Leeswijzer</w:t>
      </w:r>
      <w:r w:rsidR="00BE1848">
        <w:rPr>
          <w:b/>
          <w:bCs/>
        </w:rPr>
        <w:t xml:space="preserve"> Modelstatuten</w:t>
      </w:r>
      <w:r w:rsidR="00EF6CF7">
        <w:rPr>
          <w:b/>
          <w:bCs/>
        </w:rPr>
        <w:t xml:space="preserve"> en </w:t>
      </w:r>
      <w:r w:rsidR="00C21B36">
        <w:rPr>
          <w:b/>
          <w:bCs/>
        </w:rPr>
        <w:t>Modelreglementen</w:t>
      </w:r>
    </w:p>
    <w:p w14:paraId="4D18BB14" w14:textId="77777777" w:rsidR="003C0BCF" w:rsidRDefault="003C0BCF">
      <w:pPr>
        <w:rPr>
          <w:b/>
          <w:bCs/>
        </w:rPr>
      </w:pPr>
    </w:p>
    <w:sdt>
      <w:sdtPr>
        <w:rPr>
          <w:rFonts w:asciiTheme="minorHAnsi" w:eastAsiaTheme="minorHAnsi" w:hAnsiTheme="minorHAnsi" w:cstheme="minorBidi"/>
          <w:color w:val="auto"/>
          <w:sz w:val="22"/>
          <w:szCs w:val="22"/>
          <w:lang w:eastAsia="en-US"/>
        </w:rPr>
        <w:id w:val="1644158629"/>
        <w:docPartObj>
          <w:docPartGallery w:val="Table of Contents"/>
          <w:docPartUnique/>
        </w:docPartObj>
      </w:sdtPr>
      <w:sdtEndPr>
        <w:rPr>
          <w:b/>
          <w:bCs/>
        </w:rPr>
      </w:sdtEndPr>
      <w:sdtContent>
        <w:p w14:paraId="3006E3B3" w14:textId="3530ECFB" w:rsidR="000417E0" w:rsidRPr="00B32436" w:rsidRDefault="000417E0" w:rsidP="003C0BCF">
          <w:pPr>
            <w:pStyle w:val="Kopvaninhoudsopgave"/>
            <w:spacing w:before="0" w:after="160"/>
            <w:rPr>
              <w:rFonts w:asciiTheme="minorHAnsi" w:hAnsiTheme="minorHAnsi"/>
              <w:color w:val="000000" w:themeColor="text1"/>
              <w:sz w:val="22"/>
              <w:szCs w:val="22"/>
              <w:u w:val="single"/>
            </w:rPr>
          </w:pPr>
          <w:r w:rsidRPr="00B32436">
            <w:rPr>
              <w:rFonts w:asciiTheme="minorHAnsi" w:hAnsiTheme="minorHAnsi"/>
              <w:color w:val="000000" w:themeColor="text1"/>
              <w:sz w:val="22"/>
              <w:szCs w:val="22"/>
              <w:u w:val="single"/>
            </w:rPr>
            <w:t>Inhoud</w:t>
          </w:r>
        </w:p>
        <w:p w14:paraId="231173E7" w14:textId="60A8EA2D" w:rsidR="003C0BCF" w:rsidRDefault="000417E0" w:rsidP="003C0BCF">
          <w:pPr>
            <w:pStyle w:val="Inhopg1"/>
            <w:tabs>
              <w:tab w:val="right" w:leader="dot" w:pos="9062"/>
            </w:tabs>
            <w:spacing w:after="160"/>
            <w:rPr>
              <w:rFonts w:eastAsiaTheme="minorEastAsia"/>
              <w:noProof/>
              <w:lang w:eastAsia="nl-NL"/>
            </w:rPr>
          </w:pPr>
          <w:r>
            <w:fldChar w:fldCharType="begin"/>
          </w:r>
          <w:r>
            <w:instrText xml:space="preserve"> TOC \o "1-3" \h \z \u </w:instrText>
          </w:r>
          <w:r>
            <w:fldChar w:fldCharType="separate"/>
          </w:r>
          <w:hyperlink w:anchor="_Toc79489146" w:history="1">
            <w:r w:rsidR="003C0BCF" w:rsidRPr="00F80EA1">
              <w:rPr>
                <w:rStyle w:val="Hyperlink"/>
                <w:noProof/>
              </w:rPr>
              <w:t>Gewijzigde Woningwet naar aanleiding van de evaluatie</w:t>
            </w:r>
            <w:r w:rsidR="003C0BCF">
              <w:rPr>
                <w:noProof/>
                <w:webHidden/>
              </w:rPr>
              <w:tab/>
            </w:r>
            <w:r w:rsidR="003C0BCF">
              <w:rPr>
                <w:noProof/>
                <w:webHidden/>
              </w:rPr>
              <w:fldChar w:fldCharType="begin"/>
            </w:r>
            <w:r w:rsidR="003C0BCF">
              <w:rPr>
                <w:noProof/>
                <w:webHidden/>
              </w:rPr>
              <w:instrText xml:space="preserve"> PAGEREF _Toc79489146 \h </w:instrText>
            </w:r>
            <w:r w:rsidR="003C0BCF">
              <w:rPr>
                <w:noProof/>
                <w:webHidden/>
              </w:rPr>
            </w:r>
            <w:r w:rsidR="003C0BCF">
              <w:rPr>
                <w:noProof/>
                <w:webHidden/>
              </w:rPr>
              <w:fldChar w:fldCharType="separate"/>
            </w:r>
            <w:r w:rsidR="003C0BCF">
              <w:rPr>
                <w:noProof/>
                <w:webHidden/>
              </w:rPr>
              <w:t>1</w:t>
            </w:r>
            <w:r w:rsidR="003C0BCF">
              <w:rPr>
                <w:noProof/>
                <w:webHidden/>
              </w:rPr>
              <w:fldChar w:fldCharType="end"/>
            </w:r>
          </w:hyperlink>
        </w:p>
        <w:p w14:paraId="6F98358A" w14:textId="0AB1706D" w:rsidR="003C0BCF" w:rsidRDefault="00B515DC" w:rsidP="003C0BCF">
          <w:pPr>
            <w:pStyle w:val="Inhopg1"/>
            <w:tabs>
              <w:tab w:val="right" w:leader="dot" w:pos="9062"/>
            </w:tabs>
            <w:spacing w:after="160"/>
            <w:rPr>
              <w:rFonts w:eastAsiaTheme="minorEastAsia"/>
              <w:noProof/>
              <w:lang w:eastAsia="nl-NL"/>
            </w:rPr>
          </w:pPr>
          <w:hyperlink w:anchor="_Toc79489147" w:history="1">
            <w:r w:rsidR="003C0BCF" w:rsidRPr="00F80EA1">
              <w:rPr>
                <w:rStyle w:val="Hyperlink"/>
                <w:noProof/>
              </w:rPr>
              <w:t>Wet Bestuur en Toezicht Rechtspersonen</w:t>
            </w:r>
            <w:r w:rsidR="003C0BCF">
              <w:rPr>
                <w:noProof/>
                <w:webHidden/>
              </w:rPr>
              <w:tab/>
            </w:r>
            <w:r w:rsidR="003C0BCF">
              <w:rPr>
                <w:noProof/>
                <w:webHidden/>
              </w:rPr>
              <w:fldChar w:fldCharType="begin"/>
            </w:r>
            <w:r w:rsidR="003C0BCF">
              <w:rPr>
                <w:noProof/>
                <w:webHidden/>
              </w:rPr>
              <w:instrText xml:space="preserve"> PAGEREF _Toc79489147 \h </w:instrText>
            </w:r>
            <w:r w:rsidR="003C0BCF">
              <w:rPr>
                <w:noProof/>
                <w:webHidden/>
              </w:rPr>
            </w:r>
            <w:r w:rsidR="003C0BCF">
              <w:rPr>
                <w:noProof/>
                <w:webHidden/>
              </w:rPr>
              <w:fldChar w:fldCharType="separate"/>
            </w:r>
            <w:r w:rsidR="003C0BCF">
              <w:rPr>
                <w:noProof/>
                <w:webHidden/>
              </w:rPr>
              <w:t>1</w:t>
            </w:r>
            <w:r w:rsidR="003C0BCF">
              <w:rPr>
                <w:noProof/>
                <w:webHidden/>
              </w:rPr>
              <w:fldChar w:fldCharType="end"/>
            </w:r>
          </w:hyperlink>
        </w:p>
        <w:p w14:paraId="3D4ADA0E" w14:textId="1DF17626" w:rsidR="003C0BCF" w:rsidRDefault="00B515DC" w:rsidP="003C0BCF">
          <w:pPr>
            <w:pStyle w:val="Inhopg1"/>
            <w:tabs>
              <w:tab w:val="right" w:leader="dot" w:pos="9062"/>
            </w:tabs>
            <w:spacing w:after="160"/>
            <w:rPr>
              <w:rFonts w:eastAsiaTheme="minorEastAsia"/>
              <w:noProof/>
              <w:lang w:eastAsia="nl-NL"/>
            </w:rPr>
          </w:pPr>
          <w:hyperlink w:anchor="_Toc79489148" w:history="1">
            <w:r w:rsidR="003C0BCF" w:rsidRPr="00F80EA1">
              <w:rPr>
                <w:rStyle w:val="Hyperlink"/>
                <w:noProof/>
              </w:rPr>
              <w:t>Modelstatuten woningstichting</w:t>
            </w:r>
            <w:r w:rsidR="003C0BCF">
              <w:rPr>
                <w:noProof/>
                <w:webHidden/>
              </w:rPr>
              <w:tab/>
            </w:r>
            <w:r w:rsidR="003C0BCF">
              <w:rPr>
                <w:noProof/>
                <w:webHidden/>
              </w:rPr>
              <w:fldChar w:fldCharType="begin"/>
            </w:r>
            <w:r w:rsidR="003C0BCF">
              <w:rPr>
                <w:noProof/>
                <w:webHidden/>
              </w:rPr>
              <w:instrText xml:space="preserve"> PAGEREF _Toc79489148 \h </w:instrText>
            </w:r>
            <w:r w:rsidR="003C0BCF">
              <w:rPr>
                <w:noProof/>
                <w:webHidden/>
              </w:rPr>
            </w:r>
            <w:r w:rsidR="003C0BCF">
              <w:rPr>
                <w:noProof/>
                <w:webHidden/>
              </w:rPr>
              <w:fldChar w:fldCharType="separate"/>
            </w:r>
            <w:r w:rsidR="003C0BCF">
              <w:rPr>
                <w:noProof/>
                <w:webHidden/>
              </w:rPr>
              <w:t>2</w:t>
            </w:r>
            <w:r w:rsidR="003C0BCF">
              <w:rPr>
                <w:noProof/>
                <w:webHidden/>
              </w:rPr>
              <w:fldChar w:fldCharType="end"/>
            </w:r>
          </w:hyperlink>
        </w:p>
        <w:p w14:paraId="7B9C2CB7" w14:textId="1F872988" w:rsidR="003C0BCF" w:rsidRDefault="00B515DC" w:rsidP="003C0BCF">
          <w:pPr>
            <w:pStyle w:val="Inhopg1"/>
            <w:tabs>
              <w:tab w:val="right" w:leader="dot" w:pos="9062"/>
            </w:tabs>
            <w:spacing w:after="160"/>
            <w:rPr>
              <w:rFonts w:eastAsiaTheme="minorEastAsia"/>
              <w:noProof/>
              <w:lang w:eastAsia="nl-NL"/>
            </w:rPr>
          </w:pPr>
          <w:hyperlink w:anchor="_Toc79489149" w:history="1">
            <w:r w:rsidR="003C0BCF" w:rsidRPr="00F80EA1">
              <w:rPr>
                <w:rStyle w:val="Hyperlink"/>
                <w:noProof/>
              </w:rPr>
              <w:t>Verkorte modelstatuten woningstichting</w:t>
            </w:r>
            <w:r w:rsidR="003C0BCF">
              <w:rPr>
                <w:noProof/>
                <w:webHidden/>
              </w:rPr>
              <w:tab/>
            </w:r>
            <w:r w:rsidR="003C0BCF">
              <w:rPr>
                <w:noProof/>
                <w:webHidden/>
              </w:rPr>
              <w:fldChar w:fldCharType="begin"/>
            </w:r>
            <w:r w:rsidR="003C0BCF">
              <w:rPr>
                <w:noProof/>
                <w:webHidden/>
              </w:rPr>
              <w:instrText xml:space="preserve"> PAGEREF _Toc79489149 \h </w:instrText>
            </w:r>
            <w:r w:rsidR="003C0BCF">
              <w:rPr>
                <w:noProof/>
                <w:webHidden/>
              </w:rPr>
            </w:r>
            <w:r w:rsidR="003C0BCF">
              <w:rPr>
                <w:noProof/>
                <w:webHidden/>
              </w:rPr>
              <w:fldChar w:fldCharType="separate"/>
            </w:r>
            <w:r w:rsidR="003C0BCF">
              <w:rPr>
                <w:noProof/>
                <w:webHidden/>
              </w:rPr>
              <w:t>4</w:t>
            </w:r>
            <w:r w:rsidR="003C0BCF">
              <w:rPr>
                <w:noProof/>
                <w:webHidden/>
              </w:rPr>
              <w:fldChar w:fldCharType="end"/>
            </w:r>
          </w:hyperlink>
        </w:p>
        <w:p w14:paraId="316C5C52" w14:textId="01587E93" w:rsidR="003C0BCF" w:rsidRDefault="00B515DC" w:rsidP="003C0BCF">
          <w:pPr>
            <w:pStyle w:val="Inhopg1"/>
            <w:tabs>
              <w:tab w:val="right" w:leader="dot" w:pos="9062"/>
            </w:tabs>
            <w:spacing w:after="160"/>
            <w:rPr>
              <w:rFonts w:eastAsiaTheme="minorEastAsia"/>
              <w:noProof/>
              <w:lang w:eastAsia="nl-NL"/>
            </w:rPr>
          </w:pPr>
          <w:hyperlink w:anchor="_Toc79489150" w:history="1">
            <w:r w:rsidR="003C0BCF" w:rsidRPr="00F80EA1">
              <w:rPr>
                <w:rStyle w:val="Hyperlink"/>
                <w:noProof/>
              </w:rPr>
              <w:t>Schema van sturing en verantwoording</w:t>
            </w:r>
            <w:r w:rsidR="003C0BCF">
              <w:rPr>
                <w:noProof/>
                <w:webHidden/>
              </w:rPr>
              <w:tab/>
            </w:r>
            <w:r w:rsidR="003C0BCF">
              <w:rPr>
                <w:noProof/>
                <w:webHidden/>
              </w:rPr>
              <w:fldChar w:fldCharType="begin"/>
            </w:r>
            <w:r w:rsidR="003C0BCF">
              <w:rPr>
                <w:noProof/>
                <w:webHidden/>
              </w:rPr>
              <w:instrText xml:space="preserve"> PAGEREF _Toc79489150 \h </w:instrText>
            </w:r>
            <w:r w:rsidR="003C0BCF">
              <w:rPr>
                <w:noProof/>
                <w:webHidden/>
              </w:rPr>
            </w:r>
            <w:r w:rsidR="003C0BCF">
              <w:rPr>
                <w:noProof/>
                <w:webHidden/>
              </w:rPr>
              <w:fldChar w:fldCharType="separate"/>
            </w:r>
            <w:r w:rsidR="003C0BCF">
              <w:rPr>
                <w:noProof/>
                <w:webHidden/>
              </w:rPr>
              <w:t>5</w:t>
            </w:r>
            <w:r w:rsidR="003C0BCF">
              <w:rPr>
                <w:noProof/>
                <w:webHidden/>
              </w:rPr>
              <w:fldChar w:fldCharType="end"/>
            </w:r>
          </w:hyperlink>
        </w:p>
        <w:p w14:paraId="251E88BD" w14:textId="0448BE76" w:rsidR="003C0BCF" w:rsidRDefault="00B515DC" w:rsidP="003C0BCF">
          <w:pPr>
            <w:pStyle w:val="Inhopg1"/>
            <w:tabs>
              <w:tab w:val="right" w:leader="dot" w:pos="9062"/>
            </w:tabs>
            <w:spacing w:after="160"/>
            <w:rPr>
              <w:rFonts w:eastAsiaTheme="minorEastAsia"/>
              <w:noProof/>
              <w:lang w:eastAsia="nl-NL"/>
            </w:rPr>
          </w:pPr>
          <w:hyperlink w:anchor="_Toc79489151" w:history="1">
            <w:r w:rsidR="003C0BCF" w:rsidRPr="00F80EA1">
              <w:rPr>
                <w:rStyle w:val="Hyperlink"/>
                <w:noProof/>
              </w:rPr>
              <w:t>Modelreglement voor de Raad van Commissarissen</w:t>
            </w:r>
            <w:r w:rsidR="003C0BCF">
              <w:rPr>
                <w:noProof/>
                <w:webHidden/>
              </w:rPr>
              <w:tab/>
            </w:r>
            <w:r w:rsidR="003C0BCF">
              <w:rPr>
                <w:noProof/>
                <w:webHidden/>
              </w:rPr>
              <w:fldChar w:fldCharType="begin"/>
            </w:r>
            <w:r w:rsidR="003C0BCF">
              <w:rPr>
                <w:noProof/>
                <w:webHidden/>
              </w:rPr>
              <w:instrText xml:space="preserve"> PAGEREF _Toc79489151 \h </w:instrText>
            </w:r>
            <w:r w:rsidR="003C0BCF">
              <w:rPr>
                <w:noProof/>
                <w:webHidden/>
              </w:rPr>
            </w:r>
            <w:r w:rsidR="003C0BCF">
              <w:rPr>
                <w:noProof/>
                <w:webHidden/>
              </w:rPr>
              <w:fldChar w:fldCharType="separate"/>
            </w:r>
            <w:r w:rsidR="003C0BCF">
              <w:rPr>
                <w:noProof/>
                <w:webHidden/>
              </w:rPr>
              <w:t>5</w:t>
            </w:r>
            <w:r w:rsidR="003C0BCF">
              <w:rPr>
                <w:noProof/>
                <w:webHidden/>
              </w:rPr>
              <w:fldChar w:fldCharType="end"/>
            </w:r>
          </w:hyperlink>
        </w:p>
        <w:p w14:paraId="1F70710F" w14:textId="2060CA6E" w:rsidR="003C0BCF" w:rsidRDefault="00B515DC" w:rsidP="003C0BCF">
          <w:pPr>
            <w:pStyle w:val="Inhopg1"/>
            <w:tabs>
              <w:tab w:val="right" w:leader="dot" w:pos="9062"/>
            </w:tabs>
            <w:spacing w:after="160"/>
            <w:rPr>
              <w:rFonts w:eastAsiaTheme="minorEastAsia"/>
              <w:noProof/>
              <w:lang w:eastAsia="nl-NL"/>
            </w:rPr>
          </w:pPr>
          <w:hyperlink w:anchor="_Toc79489152" w:history="1">
            <w:r w:rsidR="003C0BCF" w:rsidRPr="00F80EA1">
              <w:rPr>
                <w:rStyle w:val="Hyperlink"/>
                <w:noProof/>
              </w:rPr>
              <w:t>Model Bestuursreglement</w:t>
            </w:r>
            <w:r w:rsidR="003C0BCF">
              <w:rPr>
                <w:noProof/>
                <w:webHidden/>
              </w:rPr>
              <w:tab/>
            </w:r>
            <w:r w:rsidR="003C0BCF">
              <w:rPr>
                <w:noProof/>
                <w:webHidden/>
              </w:rPr>
              <w:fldChar w:fldCharType="begin"/>
            </w:r>
            <w:r w:rsidR="003C0BCF">
              <w:rPr>
                <w:noProof/>
                <w:webHidden/>
              </w:rPr>
              <w:instrText xml:space="preserve"> PAGEREF _Toc79489152 \h </w:instrText>
            </w:r>
            <w:r w:rsidR="003C0BCF">
              <w:rPr>
                <w:noProof/>
                <w:webHidden/>
              </w:rPr>
            </w:r>
            <w:r w:rsidR="003C0BCF">
              <w:rPr>
                <w:noProof/>
                <w:webHidden/>
              </w:rPr>
              <w:fldChar w:fldCharType="separate"/>
            </w:r>
            <w:r w:rsidR="003C0BCF">
              <w:rPr>
                <w:noProof/>
                <w:webHidden/>
              </w:rPr>
              <w:t>6</w:t>
            </w:r>
            <w:r w:rsidR="003C0BCF">
              <w:rPr>
                <w:noProof/>
                <w:webHidden/>
              </w:rPr>
              <w:fldChar w:fldCharType="end"/>
            </w:r>
          </w:hyperlink>
        </w:p>
        <w:p w14:paraId="37AE2158" w14:textId="29FBB32D" w:rsidR="003C0BCF" w:rsidRDefault="00B515DC" w:rsidP="003C0BCF">
          <w:pPr>
            <w:pStyle w:val="Inhopg1"/>
            <w:tabs>
              <w:tab w:val="right" w:leader="dot" w:pos="9062"/>
            </w:tabs>
            <w:spacing w:after="160"/>
            <w:rPr>
              <w:rFonts w:eastAsiaTheme="minorEastAsia"/>
              <w:noProof/>
              <w:lang w:eastAsia="nl-NL"/>
            </w:rPr>
          </w:pPr>
          <w:hyperlink w:anchor="_Toc79489153" w:history="1">
            <w:r w:rsidR="003C0BCF" w:rsidRPr="00F80EA1">
              <w:rPr>
                <w:rStyle w:val="Hyperlink"/>
                <w:noProof/>
              </w:rPr>
              <w:t>Modelreglement voor de Auditcommissie</w:t>
            </w:r>
            <w:r w:rsidR="003C0BCF">
              <w:rPr>
                <w:noProof/>
                <w:webHidden/>
              </w:rPr>
              <w:tab/>
            </w:r>
            <w:r w:rsidR="003C0BCF">
              <w:rPr>
                <w:noProof/>
                <w:webHidden/>
              </w:rPr>
              <w:fldChar w:fldCharType="begin"/>
            </w:r>
            <w:r w:rsidR="003C0BCF">
              <w:rPr>
                <w:noProof/>
                <w:webHidden/>
              </w:rPr>
              <w:instrText xml:space="preserve"> PAGEREF _Toc79489153 \h </w:instrText>
            </w:r>
            <w:r w:rsidR="003C0BCF">
              <w:rPr>
                <w:noProof/>
                <w:webHidden/>
              </w:rPr>
            </w:r>
            <w:r w:rsidR="003C0BCF">
              <w:rPr>
                <w:noProof/>
                <w:webHidden/>
              </w:rPr>
              <w:fldChar w:fldCharType="separate"/>
            </w:r>
            <w:r w:rsidR="003C0BCF">
              <w:rPr>
                <w:noProof/>
                <w:webHidden/>
              </w:rPr>
              <w:t>7</w:t>
            </w:r>
            <w:r w:rsidR="003C0BCF">
              <w:rPr>
                <w:noProof/>
                <w:webHidden/>
              </w:rPr>
              <w:fldChar w:fldCharType="end"/>
            </w:r>
          </w:hyperlink>
        </w:p>
        <w:p w14:paraId="2E41FF17" w14:textId="43D71944" w:rsidR="003C0BCF" w:rsidRDefault="00B515DC" w:rsidP="003C0BCF">
          <w:pPr>
            <w:pStyle w:val="Inhopg1"/>
            <w:tabs>
              <w:tab w:val="right" w:leader="dot" w:pos="9062"/>
            </w:tabs>
            <w:spacing w:after="160"/>
            <w:rPr>
              <w:rFonts w:eastAsiaTheme="minorEastAsia"/>
              <w:noProof/>
              <w:lang w:eastAsia="nl-NL"/>
            </w:rPr>
          </w:pPr>
          <w:hyperlink w:anchor="_Toc79489154" w:history="1">
            <w:r w:rsidR="003C0BCF" w:rsidRPr="00F80EA1">
              <w:rPr>
                <w:rStyle w:val="Hyperlink"/>
                <w:noProof/>
              </w:rPr>
              <w:t>Modelreglement voor de Selectie- en renumeratiecommissie</w:t>
            </w:r>
            <w:r w:rsidR="003C0BCF">
              <w:rPr>
                <w:noProof/>
                <w:webHidden/>
              </w:rPr>
              <w:tab/>
            </w:r>
            <w:r w:rsidR="003C0BCF">
              <w:rPr>
                <w:noProof/>
                <w:webHidden/>
              </w:rPr>
              <w:fldChar w:fldCharType="begin"/>
            </w:r>
            <w:r w:rsidR="003C0BCF">
              <w:rPr>
                <w:noProof/>
                <w:webHidden/>
              </w:rPr>
              <w:instrText xml:space="preserve"> PAGEREF _Toc79489154 \h </w:instrText>
            </w:r>
            <w:r w:rsidR="003C0BCF">
              <w:rPr>
                <w:noProof/>
                <w:webHidden/>
              </w:rPr>
            </w:r>
            <w:r w:rsidR="003C0BCF">
              <w:rPr>
                <w:noProof/>
                <w:webHidden/>
              </w:rPr>
              <w:fldChar w:fldCharType="separate"/>
            </w:r>
            <w:r w:rsidR="003C0BCF">
              <w:rPr>
                <w:noProof/>
                <w:webHidden/>
              </w:rPr>
              <w:t>7</w:t>
            </w:r>
            <w:r w:rsidR="003C0BCF">
              <w:rPr>
                <w:noProof/>
                <w:webHidden/>
              </w:rPr>
              <w:fldChar w:fldCharType="end"/>
            </w:r>
          </w:hyperlink>
        </w:p>
        <w:p w14:paraId="135A16AF" w14:textId="1D092A33" w:rsidR="000417E0" w:rsidRDefault="00B515DC" w:rsidP="00685CAD">
          <w:pPr>
            <w:pStyle w:val="Inhopg1"/>
            <w:tabs>
              <w:tab w:val="right" w:leader="dot" w:pos="9062"/>
            </w:tabs>
            <w:spacing w:after="160"/>
          </w:pPr>
          <w:hyperlink w:anchor="_Toc79489155" w:history="1">
            <w:r w:rsidR="003C0BCF" w:rsidRPr="00F80EA1">
              <w:rPr>
                <w:rStyle w:val="Hyperlink"/>
                <w:noProof/>
              </w:rPr>
              <w:t>Modelreglement voor de commissie Maatschappij</w:t>
            </w:r>
            <w:r w:rsidR="003C0BCF">
              <w:rPr>
                <w:noProof/>
                <w:webHidden/>
              </w:rPr>
              <w:tab/>
            </w:r>
            <w:r w:rsidR="003C0BCF">
              <w:rPr>
                <w:noProof/>
                <w:webHidden/>
              </w:rPr>
              <w:fldChar w:fldCharType="begin"/>
            </w:r>
            <w:r w:rsidR="003C0BCF">
              <w:rPr>
                <w:noProof/>
                <w:webHidden/>
              </w:rPr>
              <w:instrText xml:space="preserve"> PAGEREF _Toc79489155 \h </w:instrText>
            </w:r>
            <w:r w:rsidR="003C0BCF">
              <w:rPr>
                <w:noProof/>
                <w:webHidden/>
              </w:rPr>
            </w:r>
            <w:r w:rsidR="003C0BCF">
              <w:rPr>
                <w:noProof/>
                <w:webHidden/>
              </w:rPr>
              <w:fldChar w:fldCharType="separate"/>
            </w:r>
            <w:r w:rsidR="003C0BCF">
              <w:rPr>
                <w:noProof/>
                <w:webHidden/>
              </w:rPr>
              <w:t>7</w:t>
            </w:r>
            <w:r w:rsidR="003C0BCF">
              <w:rPr>
                <w:noProof/>
                <w:webHidden/>
              </w:rPr>
              <w:fldChar w:fldCharType="end"/>
            </w:r>
          </w:hyperlink>
          <w:r w:rsidR="000417E0">
            <w:rPr>
              <w:b/>
              <w:bCs/>
            </w:rPr>
            <w:fldChar w:fldCharType="end"/>
          </w:r>
        </w:p>
      </w:sdtContent>
    </w:sdt>
    <w:p w14:paraId="1F7910E0" w14:textId="77777777" w:rsidR="00FE0B2B" w:rsidRPr="005F0F4F" w:rsidRDefault="00FE0B2B">
      <w:pPr>
        <w:rPr>
          <w:b/>
          <w:bCs/>
        </w:rPr>
      </w:pPr>
    </w:p>
    <w:p w14:paraId="4E5DDECF" w14:textId="77777777" w:rsidR="00CD557E" w:rsidRPr="007950E8" w:rsidRDefault="00131B65" w:rsidP="00CD557E">
      <w:pPr>
        <w:pStyle w:val="Kop1"/>
        <w:rPr>
          <w:rFonts w:asciiTheme="minorHAnsi" w:hAnsiTheme="minorHAnsi"/>
          <w:sz w:val="22"/>
          <w:szCs w:val="22"/>
        </w:rPr>
      </w:pPr>
      <w:bookmarkStart w:id="0" w:name="_Toc79489146"/>
      <w:r w:rsidRPr="007950E8">
        <w:rPr>
          <w:rFonts w:asciiTheme="minorHAnsi" w:hAnsiTheme="minorHAnsi"/>
          <w:sz w:val="22"/>
          <w:szCs w:val="22"/>
        </w:rPr>
        <w:t>Gewijzigde Woningwet</w:t>
      </w:r>
      <w:r w:rsidR="0048106C" w:rsidRPr="007950E8">
        <w:rPr>
          <w:rFonts w:asciiTheme="minorHAnsi" w:hAnsiTheme="minorHAnsi"/>
          <w:sz w:val="22"/>
          <w:szCs w:val="22"/>
        </w:rPr>
        <w:t xml:space="preserve"> n</w:t>
      </w:r>
      <w:r w:rsidR="005D5378" w:rsidRPr="007950E8">
        <w:rPr>
          <w:rFonts w:asciiTheme="minorHAnsi" w:hAnsiTheme="minorHAnsi"/>
          <w:sz w:val="22"/>
          <w:szCs w:val="22"/>
        </w:rPr>
        <w:t xml:space="preserve">aar aanleiding van </w:t>
      </w:r>
      <w:r w:rsidR="0048106C" w:rsidRPr="007950E8">
        <w:rPr>
          <w:rFonts w:asciiTheme="minorHAnsi" w:hAnsiTheme="minorHAnsi"/>
          <w:sz w:val="22"/>
          <w:szCs w:val="22"/>
        </w:rPr>
        <w:t>de evaluatie</w:t>
      </w:r>
      <w:bookmarkEnd w:id="0"/>
    </w:p>
    <w:p w14:paraId="75FA0FE3" w14:textId="0B02CCE0" w:rsidR="0092160C" w:rsidRDefault="00866C22" w:rsidP="00CA406D">
      <w:r w:rsidRPr="00866C22">
        <w:t xml:space="preserve">In 2015 is de Woningwet herzien. </w:t>
      </w:r>
      <w:r>
        <w:t xml:space="preserve">De onvolkomenheden bij die herziening werden per 1 juli 2017 hersteld met de </w:t>
      </w:r>
      <w:proofErr w:type="spellStart"/>
      <w:r>
        <w:t>Veegwet</w:t>
      </w:r>
      <w:proofErr w:type="spellEnd"/>
      <w:r>
        <w:t xml:space="preserve"> wonen. In 2019 werd de herziene Woningwet geëvalueerd. </w:t>
      </w:r>
      <w:r w:rsidRPr="00866C22">
        <w:t>Uit de</w:t>
      </w:r>
      <w:r>
        <w:t>ze</w:t>
      </w:r>
      <w:r w:rsidRPr="00866C22">
        <w:t xml:space="preserve"> evaluatie (TK 2018/2019 32 847, nr. 470) </w:t>
      </w:r>
      <w:r>
        <w:t xml:space="preserve">kon worden geconcludeerd, </w:t>
      </w:r>
      <w:r w:rsidRPr="00866C22">
        <w:t>dat de hoofddoelen van de wet</w:t>
      </w:r>
      <w:r>
        <w:t xml:space="preserve"> werden </w:t>
      </w:r>
      <w:r w:rsidRPr="00866C22">
        <w:t>bereik</w:t>
      </w:r>
      <w:r w:rsidR="00206D00">
        <w:t>t</w:t>
      </w:r>
      <w:r w:rsidRPr="00866C22">
        <w:t>. Stelselwijzigingen z</w:t>
      </w:r>
      <w:r w:rsidR="0092160C">
        <w:t>ouden</w:t>
      </w:r>
      <w:r w:rsidRPr="00866C22">
        <w:t xml:space="preserve"> daarom </w:t>
      </w:r>
      <w:r>
        <w:t>op d</w:t>
      </w:r>
      <w:r w:rsidR="0092160C">
        <w:t>a</w:t>
      </w:r>
      <w:r>
        <w:t xml:space="preserve">t moment </w:t>
      </w:r>
      <w:r w:rsidRPr="00866C22">
        <w:t>niet nodig</w:t>
      </w:r>
      <w:r w:rsidR="0092160C">
        <w:t xml:space="preserve"> zijn. Echter </w:t>
      </w:r>
      <w:r w:rsidRPr="00866C22">
        <w:t xml:space="preserve">de werking en toekomstbestendigheid </w:t>
      </w:r>
      <w:r w:rsidR="0092160C">
        <w:t>zou wel v</w:t>
      </w:r>
      <w:r w:rsidRPr="00866C22">
        <w:t xml:space="preserve">erbeterd </w:t>
      </w:r>
      <w:r w:rsidR="0092160C">
        <w:t xml:space="preserve">kunnen </w:t>
      </w:r>
      <w:r w:rsidRPr="00866C22">
        <w:t xml:space="preserve">worden. </w:t>
      </w:r>
    </w:p>
    <w:p w14:paraId="21C1CFBA" w14:textId="79D17C27" w:rsidR="00CA406D" w:rsidRDefault="00866C22" w:rsidP="00CA406D">
      <w:r w:rsidRPr="00866C22">
        <w:t xml:space="preserve">Naar aanleiding </w:t>
      </w:r>
      <w:r w:rsidR="0092160C">
        <w:t>daa</w:t>
      </w:r>
      <w:r w:rsidRPr="00866C22">
        <w:t xml:space="preserve">rvan </w:t>
      </w:r>
      <w:r>
        <w:t>zijn</w:t>
      </w:r>
      <w:r w:rsidRPr="00866C22">
        <w:t xml:space="preserve"> diverse aanpassingen in zowel de </w:t>
      </w:r>
      <w:r>
        <w:t>Woning</w:t>
      </w:r>
      <w:r w:rsidRPr="00866C22">
        <w:t xml:space="preserve">wet als het BTIV voorgesteld. </w:t>
      </w:r>
      <w:r>
        <w:t>Het</w:t>
      </w:r>
      <w:r w:rsidRPr="00866C22">
        <w:t xml:space="preserve"> voorstel </w:t>
      </w:r>
      <w:r>
        <w:t>tot wijziging van de Woningwet</w:t>
      </w:r>
      <w:r w:rsidR="00CA406D">
        <w:t xml:space="preserve">, </w:t>
      </w:r>
      <w:r w:rsidRPr="00866C22">
        <w:t>moet daarom in samenhang worden gezien met het ontwerp-BTIV.</w:t>
      </w:r>
      <w:r w:rsidR="00CA406D">
        <w:t xml:space="preserve"> </w:t>
      </w:r>
      <w:r w:rsidR="00CA406D" w:rsidRPr="00CA406D">
        <w:t xml:space="preserve">De Tweede Kamer heeft het voorstel </w:t>
      </w:r>
      <w:r w:rsidR="00CA406D">
        <w:t>(</w:t>
      </w:r>
      <w:r w:rsidR="00CA406D" w:rsidRPr="00CA406D">
        <w:t>35.517) op 10 maart 2021 met algemene stemmen aangenomen.</w:t>
      </w:r>
      <w:r w:rsidR="00CA406D">
        <w:t xml:space="preserve"> </w:t>
      </w:r>
      <w:r w:rsidR="00975523">
        <w:t xml:space="preserve">Op 6 juli 2021 ging de </w:t>
      </w:r>
      <w:r w:rsidR="00D821E9">
        <w:t>Eerste Kamer</w:t>
      </w:r>
      <w:r w:rsidR="00984B6C">
        <w:t xml:space="preserve"> </w:t>
      </w:r>
      <w:r w:rsidR="00E227EA">
        <w:t xml:space="preserve">zonder stemming </w:t>
      </w:r>
      <w:r w:rsidR="00975523">
        <w:t xml:space="preserve">akkoord met de </w:t>
      </w:r>
      <w:r w:rsidR="00D821E9" w:rsidRPr="00D821E9">
        <w:t>gewijzigde Woningwet</w:t>
      </w:r>
      <w:r w:rsidR="00B12E88" w:rsidRPr="00B12E88">
        <w:t>, nadat de minister een reparatie aan de wet had toegezegd ten aanzien van tijdelijke huurcontracten.</w:t>
      </w:r>
      <w:r w:rsidR="00E227EA">
        <w:t xml:space="preserve"> De gewijzigde Woningwet </w:t>
      </w:r>
      <w:r w:rsidR="00D821E9" w:rsidRPr="00D821E9">
        <w:t xml:space="preserve">gaat </w:t>
      </w:r>
      <w:r w:rsidR="00261F31">
        <w:t xml:space="preserve">naar verwachting </w:t>
      </w:r>
      <w:r w:rsidR="00D821E9" w:rsidRPr="00D821E9">
        <w:t xml:space="preserve">per 1 januari 2022 in. </w:t>
      </w:r>
      <w:r w:rsidR="00CA406D">
        <w:t>De</w:t>
      </w:r>
      <w:r w:rsidR="0092160C">
        <w:t>ze</w:t>
      </w:r>
      <w:r w:rsidR="00CA406D">
        <w:t xml:space="preserve"> wijzigingen zijn relevant voor met name woningcorporaties, de raden van commissarissen, huurdersorganisaties, bewonerscommissies, individuele huurders, gemeenten, de Autoriteit woningcorporaties en het Waarborg</w:t>
      </w:r>
      <w:r w:rsidR="00206D00">
        <w:t>fonds</w:t>
      </w:r>
      <w:r w:rsidR="00CA406D">
        <w:t xml:space="preserve"> Sociale Woningbouw.</w:t>
      </w:r>
    </w:p>
    <w:p w14:paraId="35FE7FB4" w14:textId="263BC199" w:rsidR="00CA406D" w:rsidRDefault="00CA406D" w:rsidP="00CA406D">
      <w:r>
        <w:t>Het verwachte effect van de regeling is beter werkende, uitvoerbare, toekomstbestendige regelgeving voor corporaties, zodat zij hun vitale rol in de volkshuisvesting kunnen blijven spelen. Daartoe worden meer mogelijkheden geboden om lokaal maatwerk toe te passen, ruimte gegeven voor meer risicogericht toezicht en worden de administratieve lasten beperk</w:t>
      </w:r>
      <w:r w:rsidR="00206D00">
        <w:t>t</w:t>
      </w:r>
      <w:r>
        <w:t xml:space="preserve">. Dit kan door detailregels en uitvoeringsvoorschriften in de Woningwet en onderliggende regelgeving te vervangen door meer algemene wettelijke principes, de stapeling aan dubbele waarborgen weg te nemen, en regels te vereenvoudigen en verduidelijken. </w:t>
      </w:r>
    </w:p>
    <w:p w14:paraId="5D7ED4AF" w14:textId="77777777" w:rsidR="00685CAD" w:rsidRDefault="00685CAD" w:rsidP="00CA406D"/>
    <w:p w14:paraId="0BAEA450" w14:textId="0D3DA901" w:rsidR="00D420B3" w:rsidRDefault="005D5378" w:rsidP="00CA406D">
      <w:bookmarkStart w:id="1" w:name="_Toc79489147"/>
      <w:r w:rsidRPr="00916294">
        <w:rPr>
          <w:rStyle w:val="Kop1Char"/>
          <w:rFonts w:asciiTheme="minorHAnsi" w:hAnsiTheme="minorHAnsi"/>
          <w:sz w:val="22"/>
          <w:szCs w:val="22"/>
        </w:rPr>
        <w:lastRenderedPageBreak/>
        <w:t>Wet Bestuur en Toezicht Rechtspersonen</w:t>
      </w:r>
      <w:bookmarkEnd w:id="1"/>
      <w:r w:rsidR="0048106C">
        <w:br/>
      </w:r>
      <w:r w:rsidR="00D420B3">
        <w:t xml:space="preserve">Voorts </w:t>
      </w:r>
      <w:r w:rsidR="001E1490">
        <w:t xml:space="preserve">is </w:t>
      </w:r>
      <w:r w:rsidR="00D420B3">
        <w:t xml:space="preserve">op 1 juli 2021 de Wet Bestuur en Toezicht Rechtspersonen </w:t>
      </w:r>
      <w:r w:rsidR="008310F5">
        <w:t>(</w:t>
      </w:r>
      <w:r w:rsidR="00D420B3">
        <w:t>W</w:t>
      </w:r>
      <w:r w:rsidR="00C26841">
        <w:t>BTR</w:t>
      </w:r>
      <w:r w:rsidR="008310F5">
        <w:t>)</w:t>
      </w:r>
      <w:r w:rsidR="00D420B3">
        <w:t xml:space="preserve"> in werking </w:t>
      </w:r>
      <w:r w:rsidR="001E1490">
        <w:t>ge</w:t>
      </w:r>
      <w:r w:rsidR="00D420B3">
        <w:t xml:space="preserve">treden. </w:t>
      </w:r>
      <w:r w:rsidR="0044305C" w:rsidRPr="0044305C">
        <w:t>Omdat specifiek voor corporaties veel is vastgelegd in de Woningwet</w:t>
      </w:r>
      <w:r w:rsidR="006C6FEB">
        <w:t xml:space="preserve"> en</w:t>
      </w:r>
      <w:r w:rsidR="00D420B3">
        <w:t xml:space="preserve"> reeds bij woningcorporaties </w:t>
      </w:r>
      <w:r w:rsidR="006C6FEB">
        <w:t xml:space="preserve">zijn </w:t>
      </w:r>
      <w:r w:rsidR="00AE760D">
        <w:t>geïmplementeerd</w:t>
      </w:r>
      <w:r w:rsidR="00D420B3">
        <w:t xml:space="preserve">, </w:t>
      </w:r>
      <w:r w:rsidR="00884C61">
        <w:t xml:space="preserve">is </w:t>
      </w:r>
      <w:r w:rsidR="00D420B3">
        <w:t xml:space="preserve">de impact van </w:t>
      </w:r>
      <w:r w:rsidR="00884C61">
        <w:t>de W</w:t>
      </w:r>
      <w:r w:rsidR="00C26841">
        <w:t>BTR</w:t>
      </w:r>
      <w:r w:rsidR="00D420B3">
        <w:t xml:space="preserve"> voor </w:t>
      </w:r>
      <w:r w:rsidR="005728DE">
        <w:t>corporaties</w:t>
      </w:r>
      <w:r w:rsidR="00D420B3">
        <w:t xml:space="preserve"> </w:t>
      </w:r>
      <w:r w:rsidR="00AE760D">
        <w:t xml:space="preserve">zeer </w:t>
      </w:r>
      <w:r w:rsidR="00D420B3">
        <w:t>beperkt.</w:t>
      </w:r>
    </w:p>
    <w:p w14:paraId="51CA40BA" w14:textId="3242B48E" w:rsidR="0092160C" w:rsidRDefault="0092160C" w:rsidP="00CA406D">
      <w:r>
        <w:t xml:space="preserve">Hieronder lichten wij de belangrijkste wijzigingen in de modellen toe. </w:t>
      </w:r>
    </w:p>
    <w:p w14:paraId="4BC4AFE3" w14:textId="18C65715" w:rsidR="00CC7AF8" w:rsidRDefault="003C42D8" w:rsidP="003C42D8">
      <w:pPr>
        <w:rPr>
          <w:b/>
          <w:bCs/>
        </w:rPr>
      </w:pPr>
      <w:r>
        <w:rPr>
          <w:b/>
          <w:bCs/>
        </w:rPr>
        <w:t>Er zijn nieuwe modelstatuten gemaakt, maar er is geen verplichting om de statuten aan te passen.</w:t>
      </w:r>
    </w:p>
    <w:p w14:paraId="07A00C0D" w14:textId="65773076" w:rsidR="00E655B3" w:rsidRPr="00C069C9" w:rsidRDefault="00E655B3" w:rsidP="00C069C9">
      <w:pPr>
        <w:pStyle w:val="Kop1"/>
        <w:rPr>
          <w:rFonts w:asciiTheme="minorHAnsi" w:hAnsiTheme="minorHAnsi"/>
          <w:sz w:val="22"/>
          <w:szCs w:val="22"/>
          <w:u w:val="single"/>
        </w:rPr>
      </w:pPr>
      <w:bookmarkStart w:id="2" w:name="_Toc79489148"/>
      <w:r w:rsidRPr="00C069C9">
        <w:rPr>
          <w:rFonts w:asciiTheme="minorHAnsi" w:hAnsiTheme="minorHAnsi"/>
          <w:color w:val="000000" w:themeColor="text1"/>
          <w:sz w:val="22"/>
          <w:szCs w:val="22"/>
          <w:u w:val="single"/>
        </w:rPr>
        <w:t>Modelstatuten woningstichting</w:t>
      </w:r>
      <w:bookmarkEnd w:id="2"/>
    </w:p>
    <w:p w14:paraId="2AACC496" w14:textId="638C7C47" w:rsidR="00866C22" w:rsidRDefault="00866C22">
      <w:r>
        <w:t>De modelstatuten woningstichting (Raad van Commissarissenmodel) zijn ontdaan van de verwijzingen en annotaties</w:t>
      </w:r>
      <w:r w:rsidR="0092160C">
        <w:t>,</w:t>
      </w:r>
      <w:r>
        <w:t xml:space="preserve"> </w:t>
      </w:r>
      <w:r w:rsidR="00E655B3">
        <w:t xml:space="preserve">die nog verwijzen naar </w:t>
      </w:r>
      <w:r>
        <w:t xml:space="preserve">de herziening van de Woningwet in 2015 en de </w:t>
      </w:r>
      <w:proofErr w:type="spellStart"/>
      <w:r>
        <w:t>Veegwet</w:t>
      </w:r>
      <w:proofErr w:type="spellEnd"/>
      <w:r>
        <w:t xml:space="preserve"> wonen uit 2017, aangezien de</w:t>
      </w:r>
      <w:r w:rsidR="0092160C">
        <w:t>ze</w:t>
      </w:r>
      <w:r>
        <w:t xml:space="preserve"> inmiddels geacht mogen worden ingeburgerd te zijn.</w:t>
      </w:r>
    </w:p>
    <w:p w14:paraId="12EB9776" w14:textId="550CB77B" w:rsidR="00866C22" w:rsidRDefault="00866C22">
      <w:r w:rsidRPr="003F5820">
        <w:rPr>
          <w:b/>
          <w:bCs/>
        </w:rPr>
        <w:t>In artikel 4</w:t>
      </w:r>
      <w:r>
        <w:t xml:space="preserve"> lid 1 is de zin 2 </w:t>
      </w:r>
      <w:r w:rsidR="0027797D">
        <w:t>”</w:t>
      </w:r>
      <w:r>
        <w:t>Bestuurders zijn natuurlijke personen” komen te vervallen</w:t>
      </w:r>
      <w:r w:rsidR="00487929">
        <w:t>;</w:t>
      </w:r>
      <w:r w:rsidR="00487929" w:rsidRPr="00487929">
        <w:t xml:space="preserve"> deze verplichting vloeit voort uit artikel </w:t>
      </w:r>
      <w:r w:rsidR="00487929">
        <w:t>25</w:t>
      </w:r>
      <w:r w:rsidR="00487929" w:rsidRPr="00487929">
        <w:t xml:space="preserve"> lid 1 van de Woningwet</w:t>
      </w:r>
      <w:r w:rsidR="00BA7213">
        <w:t xml:space="preserve"> en is opgenomen in </w:t>
      </w:r>
      <w:r w:rsidR="00555DA6">
        <w:t>het reglement voor de RvC</w:t>
      </w:r>
      <w:r>
        <w:t>.</w:t>
      </w:r>
      <w:r w:rsidR="00D420B3">
        <w:t xml:space="preserve"> In </w:t>
      </w:r>
      <w:r w:rsidR="00A1492F">
        <w:t xml:space="preserve">het </w:t>
      </w:r>
      <w:r w:rsidR="00555DA6">
        <w:t>eerste lid</w:t>
      </w:r>
      <w:r w:rsidR="00D420B3">
        <w:t xml:space="preserve"> </w:t>
      </w:r>
      <w:r w:rsidR="00E655B3">
        <w:t xml:space="preserve">was en </w:t>
      </w:r>
      <w:r w:rsidR="00D420B3">
        <w:t xml:space="preserve">is ook geregeld dat een één van de leden van het bestuur de titel </w:t>
      </w:r>
      <w:r w:rsidR="004D7417">
        <w:t>“</w:t>
      </w:r>
      <w:r w:rsidR="00D420B3">
        <w:t>voorzitter van het bestuur</w:t>
      </w:r>
      <w:r w:rsidR="004D7417">
        <w:t>”</w:t>
      </w:r>
      <w:r w:rsidR="00D420B3">
        <w:t xml:space="preserve"> kan worden toegekend. Bij een tweehoofdig bestuur komt het </w:t>
      </w:r>
      <w:r w:rsidR="00E655B3">
        <w:t xml:space="preserve">wel </w:t>
      </w:r>
      <w:r w:rsidR="00D420B3">
        <w:t>voor dat ingeval van het staken van de stemmen</w:t>
      </w:r>
      <w:r w:rsidR="00E655B3">
        <w:t>,</w:t>
      </w:r>
      <w:r w:rsidR="00AE760D">
        <w:t xml:space="preserve"> </w:t>
      </w:r>
      <w:r w:rsidR="00D420B3">
        <w:t>de voorzitter een doorslaggevende stem heeft. Op grond van de W</w:t>
      </w:r>
      <w:r w:rsidR="00C26841">
        <w:t>BTR</w:t>
      </w:r>
      <w:r w:rsidR="00D420B3">
        <w:t xml:space="preserve"> is dat niet meer mogelijk. De W</w:t>
      </w:r>
      <w:r w:rsidR="00C26841">
        <w:t>BTR</w:t>
      </w:r>
      <w:r w:rsidR="00D420B3">
        <w:t xml:space="preserve"> verbiedt namelijk dat één bestuurslid meer stemgewicht heeft dan alle andere bestuursleden tezamen; dat geldt ook bij een tweehoofdig bestuur. </w:t>
      </w:r>
    </w:p>
    <w:p w14:paraId="221AD984" w14:textId="05CE456D" w:rsidR="00D420B3" w:rsidRDefault="00D420B3">
      <w:r>
        <w:t>In het derde lid wordt de benoemingsperiode van maximaal vier jaar geregeld. Anders dan bij de raad van commissarissen geldt hier geen maximale benoemingsduur; bestuurders kunnen dus meerdere malen voor vier jaar herbenoemd worden.</w:t>
      </w:r>
    </w:p>
    <w:p w14:paraId="47C0D413" w14:textId="224B7CB8" w:rsidR="00AE760D" w:rsidRDefault="00AE760D">
      <w:r>
        <w:t xml:space="preserve">In het vierde lid wordt nu expliciet vermeld dat het </w:t>
      </w:r>
      <w:r w:rsidR="002C3BD1">
        <w:t>niet de stichting (die immers vertegenwoordigd wordt door het bestuur) maar</w:t>
      </w:r>
      <w:r w:rsidR="00206D00">
        <w:t xml:space="preserve"> </w:t>
      </w:r>
      <w:r>
        <w:t>de RvC is</w:t>
      </w:r>
      <w:r w:rsidR="0092160C">
        <w:t>,</w:t>
      </w:r>
      <w:r>
        <w:t xml:space="preserve"> die de minister </w:t>
      </w:r>
      <w:r w:rsidR="002C3BD1">
        <w:t xml:space="preserve">vraagt om een zienswijze ten aanzien van een te (her)benoemen bestuurder </w:t>
      </w:r>
      <w:r>
        <w:t xml:space="preserve">kenbaar te maken.  </w:t>
      </w:r>
    </w:p>
    <w:p w14:paraId="5299E220" w14:textId="6C212C7A" w:rsidR="00665F42" w:rsidRDefault="006C2D36" w:rsidP="00665F42">
      <w:r>
        <w:t xml:space="preserve">Het tiende lid ziet op de </w:t>
      </w:r>
      <w:r w:rsidR="007B134D">
        <w:t>contractuele relatie van de bestuurder met de stichting</w:t>
      </w:r>
      <w:r w:rsidR="002F2345">
        <w:t>; de overeengekomen bezoldiging en overige arbeidsvoorwaarden</w:t>
      </w:r>
      <w:r w:rsidR="007B134D">
        <w:t xml:space="preserve"> </w:t>
      </w:r>
      <w:r w:rsidR="003212B3">
        <w:t xml:space="preserve">waarop het overeenkomstenrecht van toepassing is. </w:t>
      </w:r>
      <w:r w:rsidR="00693688">
        <w:t xml:space="preserve">NVBW en VTW hebben een gezamenlijke </w:t>
      </w:r>
      <w:r w:rsidR="00665F42">
        <w:t>h</w:t>
      </w:r>
      <w:r w:rsidR="00693688">
        <w:t>andreiking</w:t>
      </w:r>
      <w:r w:rsidR="006C4912">
        <w:rPr>
          <w:rStyle w:val="Voetnootmarkering"/>
        </w:rPr>
        <w:footnoteReference w:id="1"/>
      </w:r>
      <w:r w:rsidR="00693688">
        <w:t xml:space="preserve"> </w:t>
      </w:r>
      <w:r w:rsidR="00665F42">
        <w:t xml:space="preserve">opgesteld met een model arbeidsovereenkomst </w:t>
      </w:r>
      <w:r w:rsidR="00665F42" w:rsidRPr="00665F42">
        <w:t xml:space="preserve">statutair bestuurder woningcorporatie </w:t>
      </w:r>
      <w:r w:rsidR="00665F42">
        <w:t>en een model benoemingsbesluit.</w:t>
      </w:r>
      <w:r w:rsidR="00ED49CA">
        <w:t xml:space="preserve"> </w:t>
      </w:r>
    </w:p>
    <w:p w14:paraId="2FD2097F" w14:textId="7B6BA160" w:rsidR="00942A1F" w:rsidRDefault="00AE760D" w:rsidP="00942A1F">
      <w:pPr>
        <w:spacing w:line="240" w:lineRule="auto"/>
      </w:pPr>
      <w:r w:rsidRPr="003F5820">
        <w:rPr>
          <w:b/>
          <w:bCs/>
        </w:rPr>
        <w:t>Artikel 5</w:t>
      </w:r>
      <w:r>
        <w:t xml:space="preserve"> is </w:t>
      </w:r>
      <w:r w:rsidR="003F5820">
        <w:t>de uitgebreide lijst met voor corporatiebestuurders onverenigbare functies</w:t>
      </w:r>
      <w:r w:rsidR="005B53EC">
        <w:t>,</w:t>
      </w:r>
      <w:r w:rsidR="00C4016D">
        <w:t xml:space="preserve"> </w:t>
      </w:r>
      <w:r w:rsidR="006B1C66">
        <w:t>net zoals in de gewijzigde Woningwet</w:t>
      </w:r>
      <w:r w:rsidR="002C3BD1">
        <w:t>,</w:t>
      </w:r>
      <w:r w:rsidR="003F5820">
        <w:t xml:space="preserve"> </w:t>
      </w:r>
      <w:r w:rsidR="008338B2">
        <w:t>vervangen door een meer algemene omschrijving van</w:t>
      </w:r>
      <w:r w:rsidR="000605F1">
        <w:t xml:space="preserve"> </w:t>
      </w:r>
      <w:r w:rsidR="00376A86">
        <w:t>de</w:t>
      </w:r>
      <w:r w:rsidR="000605F1">
        <w:t xml:space="preserve"> uitgangspunt</w:t>
      </w:r>
      <w:r w:rsidR="00376A86">
        <w:t>en</w:t>
      </w:r>
      <w:r w:rsidR="000605F1">
        <w:t xml:space="preserve"> </w:t>
      </w:r>
      <w:r w:rsidR="00BB3B10">
        <w:t>hier</w:t>
      </w:r>
      <w:r w:rsidR="000605F1">
        <w:t>achter</w:t>
      </w:r>
      <w:r w:rsidR="006C57E3">
        <w:t xml:space="preserve"> in lid 1 en lid 2.</w:t>
      </w:r>
      <w:r w:rsidR="00942A1F">
        <w:t xml:space="preserve"> </w:t>
      </w:r>
      <w:r w:rsidR="00980079">
        <w:t>Met deze wijziging van de Woningwet is</w:t>
      </w:r>
      <w:r w:rsidR="00B825B9">
        <w:t xml:space="preserve"> </w:t>
      </w:r>
      <w:r w:rsidR="009673DE">
        <w:t>volgens de Memorie van Toelichting</w:t>
      </w:r>
      <w:r w:rsidR="000D1A11">
        <w:rPr>
          <w:rStyle w:val="Voetnootmarkering"/>
        </w:rPr>
        <w:footnoteReference w:id="2"/>
      </w:r>
      <w:r w:rsidR="009673DE">
        <w:t xml:space="preserve"> </w:t>
      </w:r>
      <w:r w:rsidR="00BC7022">
        <w:t>“</w:t>
      </w:r>
      <w:r w:rsidR="00942A1F">
        <w:t>nadrukkelijk geen grote wijziging van het beleid voorgenomen, maar wordt ruimte gegeven aan de toezichthouder voor een risicogerichte benadering, voor het toetsen van concrete gevallen aan</w:t>
      </w:r>
      <w:r w:rsidR="005F5B8A">
        <w:t xml:space="preserve"> </w:t>
      </w:r>
      <w:r w:rsidR="00942A1F">
        <w:t>de specifieke context en om adequaat te handelen in situaties die nu nog niet te voorzien zijn.</w:t>
      </w:r>
      <w:r w:rsidR="00BC7022">
        <w:t>”</w:t>
      </w:r>
      <w:r w:rsidR="00D53AB7">
        <w:t xml:space="preserve"> </w:t>
      </w:r>
      <w:r w:rsidR="00AE7933">
        <w:t xml:space="preserve">De Autoriteit woningcorporaties heeft </w:t>
      </w:r>
      <w:r w:rsidR="00FD5A02">
        <w:t xml:space="preserve">op </w:t>
      </w:r>
      <w:r w:rsidR="00AE7933">
        <w:t>1 ju</w:t>
      </w:r>
      <w:r w:rsidR="00761B16">
        <w:t>ni</w:t>
      </w:r>
      <w:r w:rsidR="00AE7933">
        <w:t xml:space="preserve"> 2021 de conceptbeleidsregels</w:t>
      </w:r>
      <w:r w:rsidR="000D1A11">
        <w:rPr>
          <w:rStyle w:val="Voetnootmarkering"/>
        </w:rPr>
        <w:footnoteReference w:id="3"/>
      </w:r>
      <w:r w:rsidR="00AE7933">
        <w:t xml:space="preserve"> </w:t>
      </w:r>
      <w:r w:rsidR="0051704A">
        <w:t xml:space="preserve">– over o.a. onverenigbaarheden – </w:t>
      </w:r>
      <w:r w:rsidR="00AE7933">
        <w:t>ter consultatie open gesteld.</w:t>
      </w:r>
    </w:p>
    <w:p w14:paraId="505C995D" w14:textId="0B3F495E" w:rsidR="005F5C6A" w:rsidRDefault="00C37E27" w:rsidP="003552A2">
      <w:pPr>
        <w:spacing w:line="240" w:lineRule="auto"/>
      </w:pPr>
      <w:r>
        <w:t xml:space="preserve">Het eerste lid </w:t>
      </w:r>
      <w:r w:rsidR="00376719">
        <w:t>bepaalt</w:t>
      </w:r>
      <w:r w:rsidR="00376A86">
        <w:t xml:space="preserve"> </w:t>
      </w:r>
      <w:r w:rsidR="002C3BD1">
        <w:t>kort</w:t>
      </w:r>
      <w:r w:rsidR="00CA4539">
        <w:t xml:space="preserve"> </w:t>
      </w:r>
      <w:r w:rsidR="002C3BD1">
        <w:t xml:space="preserve">samengevat </w:t>
      </w:r>
      <w:r w:rsidR="00BE3CC6">
        <w:t>dat</w:t>
      </w:r>
      <w:r w:rsidR="003F5820">
        <w:t xml:space="preserve"> een functie onverenigbaar </w:t>
      </w:r>
      <w:r w:rsidR="00BE3CC6">
        <w:t xml:space="preserve">is </w:t>
      </w:r>
      <w:r w:rsidR="003F5820">
        <w:t xml:space="preserve">als de </w:t>
      </w:r>
      <w:r w:rsidR="003F5820" w:rsidRPr="003F5820">
        <w:t xml:space="preserve">uitoefening door de bestuurder </w:t>
      </w:r>
      <w:r w:rsidR="003F5820">
        <w:t xml:space="preserve">daarvan </w:t>
      </w:r>
      <w:r w:rsidR="003F5820" w:rsidRPr="003F5820">
        <w:t xml:space="preserve">nadelig kan zijn voor de belangen van de corporatie of </w:t>
      </w:r>
      <w:r w:rsidR="003F5820">
        <w:t xml:space="preserve">wanneer deze </w:t>
      </w:r>
      <w:r w:rsidR="003F5820" w:rsidRPr="003F5820">
        <w:t xml:space="preserve">kan leiden tot </w:t>
      </w:r>
      <w:r w:rsidR="004F5D5A">
        <w:t>(</w:t>
      </w:r>
      <w:r w:rsidR="003F5820" w:rsidRPr="003F5820">
        <w:t>de schijn van</w:t>
      </w:r>
      <w:r w:rsidR="004F5D5A">
        <w:t>)</w:t>
      </w:r>
      <w:r w:rsidR="003F5820" w:rsidRPr="003F5820">
        <w:t xml:space="preserve"> belangenverstrengeling.</w:t>
      </w:r>
      <w:r w:rsidR="005F5C6A">
        <w:t xml:space="preserve"> </w:t>
      </w:r>
    </w:p>
    <w:p w14:paraId="71BDDBD1" w14:textId="66C57106" w:rsidR="007B667D" w:rsidRDefault="007B667D">
      <w:r>
        <w:lastRenderedPageBreak/>
        <w:t xml:space="preserve">Overigens mag ervoor worden gekozen om </w:t>
      </w:r>
      <w:r w:rsidR="00C43172">
        <w:t>in de statuten toch ook één, enkele of alle onderdelen van de lijst met onverenigbare functies op te nemen</w:t>
      </w:r>
      <w:r w:rsidR="0028029D">
        <w:t xml:space="preserve"> (of daar andere aan toe te voegen)</w:t>
      </w:r>
      <w:r w:rsidR="00C43172">
        <w:t>.</w:t>
      </w:r>
      <w:r>
        <w:t xml:space="preserve"> </w:t>
      </w:r>
    </w:p>
    <w:p w14:paraId="748BA54B" w14:textId="463DB6B9" w:rsidR="00176CF6" w:rsidRDefault="00176CF6">
      <w:r>
        <w:t xml:space="preserve">Daarenboven wordt in het tweede lid aangegeven dat </w:t>
      </w:r>
      <w:r w:rsidR="001830BF">
        <w:t xml:space="preserve">de samenstelling van </w:t>
      </w:r>
      <w:r w:rsidR="00B0295B">
        <w:t>het bestuur van de stichting zo</w:t>
      </w:r>
      <w:r w:rsidR="001830BF">
        <w:t xml:space="preserve">danig is </w:t>
      </w:r>
      <w:r w:rsidR="001830BF" w:rsidRPr="001830BF">
        <w:t xml:space="preserve">dat geen </w:t>
      </w:r>
      <w:r>
        <w:t xml:space="preserve">verwevenheid </w:t>
      </w:r>
      <w:r w:rsidR="00643EB4">
        <w:t xml:space="preserve">ontstaat </w:t>
      </w:r>
      <w:r>
        <w:t>tussen het bestuur en een orgaan van een andere rechtspersoon</w:t>
      </w:r>
      <w:r w:rsidR="00FB6038" w:rsidRPr="00FB6038">
        <w:t xml:space="preserve"> </w:t>
      </w:r>
      <w:r w:rsidR="00D63699" w:rsidRPr="00D63699">
        <w:t xml:space="preserve">die nadelig kan zijn </w:t>
      </w:r>
      <w:r>
        <w:t xml:space="preserve">voor de belangen van de </w:t>
      </w:r>
      <w:proofErr w:type="spellStart"/>
      <w:r>
        <w:t>corporatie.In</w:t>
      </w:r>
      <w:proofErr w:type="spellEnd"/>
      <w:r>
        <w:t xml:space="preserve"> het derde lid wordt echter de mogelijkheid geopend om </w:t>
      </w:r>
      <w:r w:rsidR="00534AC3" w:rsidRPr="00534AC3">
        <w:t>–</w:t>
      </w:r>
      <w:r w:rsidR="002C3BD1">
        <w:t xml:space="preserve"> </w:t>
      </w:r>
      <w:r>
        <w:t>wanneer het belang van de volkshuisvesting daarmee gediend is</w:t>
      </w:r>
      <w:r w:rsidR="002C3BD1">
        <w:t xml:space="preserve"> </w:t>
      </w:r>
      <w:r w:rsidR="00534AC3" w:rsidRPr="00534AC3">
        <w:t>–</w:t>
      </w:r>
      <w:r>
        <w:t xml:space="preserve"> de onverenigbaarheid uit lid 1 en/of de verwevenheid uit lid 2 op te heffen door </w:t>
      </w:r>
      <w:proofErr w:type="spellStart"/>
      <w:r>
        <w:t>terzake</w:t>
      </w:r>
      <w:proofErr w:type="spellEnd"/>
      <w:r>
        <w:t xml:space="preserve"> afdoende maatregelen te nemen om de risico’s te beperken.</w:t>
      </w:r>
    </w:p>
    <w:p w14:paraId="3475A544" w14:textId="331594ED" w:rsidR="00176CF6" w:rsidRDefault="00176CF6">
      <w:r>
        <w:t xml:space="preserve">Aan dit artikel is een keuzebepaling toegevoegd. Hoofregel is dat een bestuurder ingeval van een onverenigbaarheid deze meldt aan de voorzitter van de RvC en terstond aftreedt als bestuurder. De </w:t>
      </w:r>
      <w:r w:rsidR="002C3BD1">
        <w:t>naar keuze</w:t>
      </w:r>
      <w:r>
        <w:t xml:space="preserve"> toe te voegen bepaling maakt het mogelijk om dat aftreden te voorkomen door </w:t>
      </w:r>
      <w:bookmarkStart w:id="3" w:name="_Hlk79426443"/>
      <w:r>
        <w:t>–</w:t>
      </w:r>
      <w:bookmarkEnd w:id="3"/>
      <w:r>
        <w:t xml:space="preserve"> indachtig het bepaalde in het derde lid  </w:t>
      </w:r>
      <w:r w:rsidR="00F10EA8" w:rsidRPr="00F10EA8">
        <w:t>–</w:t>
      </w:r>
      <w:r>
        <w:t xml:space="preserve"> maatregelen te nemen om het betreffende risico afdoende te beperken.</w:t>
      </w:r>
    </w:p>
    <w:p w14:paraId="4CF37541" w14:textId="6750044A" w:rsidR="00176CF6" w:rsidRPr="00C020E2" w:rsidRDefault="00C020E2">
      <w:r>
        <w:t xml:space="preserve">In </w:t>
      </w:r>
      <w:r w:rsidRPr="00C020E2">
        <w:rPr>
          <w:b/>
          <w:bCs/>
        </w:rPr>
        <w:t>artikel 6</w:t>
      </w:r>
      <w:r>
        <w:rPr>
          <w:b/>
          <w:bCs/>
        </w:rPr>
        <w:t xml:space="preserve"> </w:t>
      </w:r>
      <w:r w:rsidRPr="00C020E2">
        <w:t>is sub g (</w:t>
      </w:r>
      <w:r w:rsidR="002C3BD1">
        <w:t>daar stond: “</w:t>
      </w:r>
      <w:r w:rsidRPr="00C020E2">
        <w:t>doordat zich één van de onverenigbaarheden genoemd in artikel 5 voordoet</w:t>
      </w:r>
      <w:r w:rsidR="002C3BD1">
        <w:t>”</w:t>
      </w:r>
      <w:r w:rsidRPr="00C020E2">
        <w:t>)</w:t>
      </w:r>
      <w:r>
        <w:t xml:space="preserve"> om begrijpelijke reden geschrapt.</w:t>
      </w:r>
    </w:p>
    <w:p w14:paraId="4582F395" w14:textId="30E7B146" w:rsidR="009C4173" w:rsidRDefault="000F5E80" w:rsidP="00E91BC3">
      <w:r w:rsidRPr="000F5E80">
        <w:t xml:space="preserve">In </w:t>
      </w:r>
      <w:r w:rsidRPr="000F5E80">
        <w:rPr>
          <w:b/>
          <w:bCs/>
        </w:rPr>
        <w:t>artikel 10</w:t>
      </w:r>
      <w:r w:rsidRPr="000F5E80">
        <w:t xml:space="preserve"> lid 1 is de zin 2 </w:t>
      </w:r>
      <w:r w:rsidR="0079050A">
        <w:t>“</w:t>
      </w:r>
      <w:r w:rsidR="00946F82" w:rsidRPr="00946F82">
        <w:t>Slechts natuurlijke personen kunnen lid van de Raad van Commissarissen zijn</w:t>
      </w:r>
      <w:r w:rsidRPr="000F5E80">
        <w:t>” komen te vervallen</w:t>
      </w:r>
      <w:r w:rsidR="008624C8">
        <w:t>; d</w:t>
      </w:r>
      <w:r w:rsidR="00E209C9">
        <w:t>e</w:t>
      </w:r>
      <w:r w:rsidR="00946F82">
        <w:t>ze</w:t>
      </w:r>
      <w:r w:rsidR="00E209C9">
        <w:t xml:space="preserve"> verplichting </w:t>
      </w:r>
      <w:r w:rsidR="00F57183">
        <w:t>vloeit voort uit artikel 30 lid 1 van de Woningwet</w:t>
      </w:r>
      <w:r w:rsidR="009476FB">
        <w:t xml:space="preserve"> en is opgenomen in artikel 4 </w:t>
      </w:r>
      <w:proofErr w:type="spellStart"/>
      <w:r w:rsidR="009476FB">
        <w:t>id</w:t>
      </w:r>
      <w:proofErr w:type="spellEnd"/>
      <w:r w:rsidR="009476FB">
        <w:t xml:space="preserve"> 1 van het reglement voor de RvC</w:t>
      </w:r>
      <w:r w:rsidR="00F57183">
        <w:t>.</w:t>
      </w:r>
      <w:r w:rsidR="00E91BC3">
        <w:t xml:space="preserve"> </w:t>
      </w:r>
    </w:p>
    <w:p w14:paraId="3CD76739" w14:textId="48A6E3EE" w:rsidR="00E91BC3" w:rsidRDefault="0030001E" w:rsidP="00E91BC3">
      <w:r>
        <w:t>In het derde lid is de zin “</w:t>
      </w:r>
      <w:r w:rsidRPr="0030001E">
        <w:t>Het aantal leden van de Raad van Commissarissen wordt bij voorkeur vastgesteld op een oneven aantal.</w:t>
      </w:r>
      <w:r>
        <w:t>”</w:t>
      </w:r>
      <w:r w:rsidR="009C4173">
        <w:t xml:space="preserve"> komen te vervallen. </w:t>
      </w:r>
      <w:r w:rsidR="004F02F0">
        <w:t>Hoewel dit praktisch is</w:t>
      </w:r>
      <w:r w:rsidR="009C4173">
        <w:t xml:space="preserve"> </w:t>
      </w:r>
      <w:r w:rsidR="009C4173" w:rsidRPr="009C4173">
        <w:t>–</w:t>
      </w:r>
      <w:r w:rsidR="009C4173">
        <w:t xml:space="preserve"> voor het </w:t>
      </w:r>
      <w:r w:rsidR="004F02F0">
        <w:t xml:space="preserve">voorkomen van </w:t>
      </w:r>
      <w:r w:rsidR="0049791D" w:rsidRPr="0049791D">
        <w:t>stakende stemmen</w:t>
      </w:r>
      <w:r w:rsidR="009C4173">
        <w:t xml:space="preserve"> </w:t>
      </w:r>
      <w:r w:rsidR="009C4173" w:rsidRPr="009C4173">
        <w:t>–</w:t>
      </w:r>
      <w:r w:rsidR="004F02F0">
        <w:t xml:space="preserve"> is </w:t>
      </w:r>
      <w:r w:rsidR="00957880">
        <w:t xml:space="preserve">dit </w:t>
      </w:r>
      <w:r w:rsidR="00AA4692">
        <w:t>aan de R</w:t>
      </w:r>
      <w:r w:rsidR="0049791D">
        <w:t>vC</w:t>
      </w:r>
      <w:r w:rsidR="009C4198">
        <w:t xml:space="preserve"> om te bepalen</w:t>
      </w:r>
      <w:r w:rsidR="000E2FB3">
        <w:t>.</w:t>
      </w:r>
    </w:p>
    <w:p w14:paraId="2CCEEA17" w14:textId="1AC3DA10" w:rsidR="008D312E" w:rsidRPr="006127FF" w:rsidRDefault="00A17280" w:rsidP="00990026">
      <w:r>
        <w:t xml:space="preserve">Het vierde lid ziet op de beloning van commissarissen. </w:t>
      </w:r>
      <w:r w:rsidR="00990026">
        <w:t xml:space="preserve">De beloning </w:t>
      </w:r>
      <w:r w:rsidR="009D75FA">
        <w:t xml:space="preserve">moet </w:t>
      </w:r>
      <w:r w:rsidR="00617F39">
        <w:t xml:space="preserve">voldoen aan de </w:t>
      </w:r>
      <w:r w:rsidR="00990026">
        <w:t xml:space="preserve">Wet Normering Topinkomens (WNT) en de hieruit voortvloeiende </w:t>
      </w:r>
      <w:r w:rsidR="0020248C">
        <w:t xml:space="preserve">sectorale </w:t>
      </w:r>
      <w:r w:rsidR="00990026">
        <w:t>Regeling normering topinkomens toegelaten instellingen volkshuisvesting</w:t>
      </w:r>
      <w:r w:rsidR="00A60D21">
        <w:rPr>
          <w:rStyle w:val="Voetnootmarkering"/>
        </w:rPr>
        <w:footnoteReference w:id="4"/>
      </w:r>
      <w:r w:rsidR="008D312E">
        <w:t>.</w:t>
      </w:r>
      <w:r w:rsidR="0039294E">
        <w:t xml:space="preserve"> </w:t>
      </w:r>
      <w:r w:rsidR="00586A3B" w:rsidRPr="008416E8">
        <w:rPr>
          <w:b/>
          <w:bCs/>
        </w:rPr>
        <w:t>NB</w:t>
      </w:r>
      <w:r w:rsidR="00586A3B">
        <w:t xml:space="preserve"> </w:t>
      </w:r>
      <w:r w:rsidR="009B17DB">
        <w:t>C</w:t>
      </w:r>
      <w:r w:rsidR="008D312E">
        <w:t xml:space="preserve">ommissarissen die lid zijn van de VTW </w:t>
      </w:r>
      <w:r w:rsidR="009B17DB">
        <w:t xml:space="preserve">zijn gebonden aan de </w:t>
      </w:r>
      <w:r w:rsidR="004E41BD" w:rsidRPr="004E41BD">
        <w:t>Beroepsregel bezoldiging commissarissen</w:t>
      </w:r>
      <w:r w:rsidR="000B3FC4">
        <w:t xml:space="preserve"> die lagere beloningsmaxima kent</w:t>
      </w:r>
      <w:r w:rsidR="00BB6696">
        <w:rPr>
          <w:rStyle w:val="Voetnootmarkering"/>
        </w:rPr>
        <w:footnoteReference w:id="5"/>
      </w:r>
      <w:r w:rsidR="004E41BD" w:rsidRPr="004E41BD">
        <w:t xml:space="preserve">. </w:t>
      </w:r>
    </w:p>
    <w:p w14:paraId="7897AFF9" w14:textId="6A0D92AE" w:rsidR="00C020E2" w:rsidRDefault="00C020E2">
      <w:r>
        <w:t>Een belangrijke wijziging waar</w:t>
      </w:r>
      <w:r w:rsidR="002C3BD1">
        <w:t xml:space="preserve"> brede</w:t>
      </w:r>
      <w:r>
        <w:t xml:space="preserve"> behoefte aan </w:t>
      </w:r>
      <w:r w:rsidR="002C3BD1">
        <w:t>was,</w:t>
      </w:r>
      <w:r>
        <w:t xml:space="preserve"> is aangebracht in </w:t>
      </w:r>
      <w:r w:rsidRPr="00C020E2">
        <w:rPr>
          <w:b/>
          <w:bCs/>
        </w:rPr>
        <w:t>artikel 11</w:t>
      </w:r>
      <w:r>
        <w:rPr>
          <w:b/>
          <w:bCs/>
        </w:rPr>
        <w:t xml:space="preserve">. </w:t>
      </w:r>
      <w:r w:rsidRPr="00C020E2">
        <w:t xml:space="preserve">De </w:t>
      </w:r>
      <w:r>
        <w:t xml:space="preserve">regeling dat de benoemingsduur voor commissarissen maximaal vier jaar met </w:t>
      </w:r>
      <w:r w:rsidR="002C3BD1">
        <w:t xml:space="preserve">slechts </w:t>
      </w:r>
      <w:r>
        <w:t xml:space="preserve">één herbenoeming voor </w:t>
      </w:r>
      <w:r w:rsidR="005F0F4F">
        <w:t>ten hoogste</w:t>
      </w:r>
      <w:r>
        <w:t xml:space="preserve"> vier jaar bedraagt</w:t>
      </w:r>
      <w:r w:rsidR="002C3BD1">
        <w:t>,</w:t>
      </w:r>
      <w:r>
        <w:t xml:space="preserve"> bleek in de praktijk de nodige</w:t>
      </w:r>
      <w:r w:rsidR="005F0F4F">
        <w:t xml:space="preserve"> praktische</w:t>
      </w:r>
      <w:r>
        <w:t xml:space="preserve"> prob</w:t>
      </w:r>
      <w:r w:rsidR="005F0F4F">
        <w:t>l</w:t>
      </w:r>
      <w:r>
        <w:t>emen op te lever</w:t>
      </w:r>
      <w:r w:rsidR="005F0F4F">
        <w:t>en, met name bij de invulling van het rooster van aftreden. Duidelijk is dat de wetgever de totale zittingsduur beperkt wil zien tot acht jaar. Maar binnen die periode van acht jaar zou meer flexibiliteit mogelijk moeten worden gemaakt, zodat een commissaris bijvoorbeeld voor twee jaar benoemd zou kunnen worden, vervolgens een herbenoeming voor vier jaar en tot slot een herbenoeming voor twee jaar</w:t>
      </w:r>
      <w:r w:rsidR="001C308F">
        <w:t xml:space="preserve"> zou moeten kunnen krijgen. In totaal dus acht jaar</w:t>
      </w:r>
      <w:r w:rsidR="005F0F4F">
        <w:t>. Dat is n</w:t>
      </w:r>
      <w:r w:rsidR="001C308F">
        <w:t>u</w:t>
      </w:r>
      <w:r w:rsidR="005F0F4F">
        <w:t xml:space="preserve"> mogelijk gemaakt. Het aantal herbenoemingen is niet langer beperkt tot één; wel blijft </w:t>
      </w:r>
      <w:r w:rsidR="001C308F">
        <w:t xml:space="preserve">als gezegd </w:t>
      </w:r>
      <w:r w:rsidR="005F0F4F">
        <w:t xml:space="preserve">staan dat de totale benoemingsduur </w:t>
      </w:r>
      <w:r w:rsidR="001C308F">
        <w:t xml:space="preserve">niet meer dan </w:t>
      </w:r>
      <w:r w:rsidR="005F0F4F">
        <w:t xml:space="preserve">acht jaar bedraagt. Het staat er niet met zoveel woorden, maar een enkele (her)benoemingsperiode </w:t>
      </w:r>
      <w:r w:rsidR="00313008">
        <w:t xml:space="preserve">mag </w:t>
      </w:r>
      <w:r w:rsidR="004529FD">
        <w:t>in overeenstemming met</w:t>
      </w:r>
      <w:r w:rsidR="00444396">
        <w:t xml:space="preserve"> artikel 30 lid 4 Woningwet </w:t>
      </w:r>
      <w:r w:rsidR="005F0F4F">
        <w:t xml:space="preserve">geen langere duur inhouden dan vier jaar. </w:t>
      </w:r>
    </w:p>
    <w:p w14:paraId="165B6034" w14:textId="010E4DA5" w:rsidR="00474527" w:rsidRDefault="00474527" w:rsidP="00474527">
      <w:r w:rsidRPr="00474527">
        <w:t xml:space="preserve">Aan </w:t>
      </w:r>
      <w:r>
        <w:rPr>
          <w:b/>
          <w:bCs/>
        </w:rPr>
        <w:t>a</w:t>
      </w:r>
      <w:r w:rsidRPr="00474527">
        <w:rPr>
          <w:b/>
          <w:bCs/>
        </w:rPr>
        <w:t>rtikel 1</w:t>
      </w:r>
      <w:r w:rsidR="002B3E82">
        <w:rPr>
          <w:b/>
          <w:bCs/>
        </w:rPr>
        <w:t>1</w:t>
      </w:r>
      <w:r>
        <w:rPr>
          <w:b/>
          <w:bCs/>
        </w:rPr>
        <w:t xml:space="preserve"> </w:t>
      </w:r>
      <w:r w:rsidR="00F27523" w:rsidRPr="004C6448">
        <w:t xml:space="preserve">is in het tweede lid onder c. </w:t>
      </w:r>
      <w:r w:rsidR="004C6448" w:rsidRPr="004C6448">
        <w:t>het</w:t>
      </w:r>
      <w:r w:rsidR="00FA15E1">
        <w:t xml:space="preserve"> </w:t>
      </w:r>
      <w:r w:rsidR="004C6448" w:rsidRPr="004C6448">
        <w:t xml:space="preserve">uitgangspunt </w:t>
      </w:r>
      <w:r w:rsidR="00C71FA4">
        <w:t>over ‘</w:t>
      </w:r>
      <w:r w:rsidR="004C6448" w:rsidRPr="004C6448">
        <w:t>verwevenheid</w:t>
      </w:r>
      <w:r w:rsidR="009D79F4">
        <w:t xml:space="preserve">’ toegevoegd dat ook geldt voor bestuurders (zie </w:t>
      </w:r>
      <w:r w:rsidR="003D49E1">
        <w:t xml:space="preserve">de </w:t>
      </w:r>
      <w:r w:rsidR="0077224A">
        <w:t xml:space="preserve">toelichting over </w:t>
      </w:r>
      <w:r w:rsidR="009D79F4">
        <w:t>artikel 5 lid 2)</w:t>
      </w:r>
      <w:r w:rsidR="00FA15E1">
        <w:t>.</w:t>
      </w:r>
      <w:r w:rsidR="00E75B1E">
        <w:t xml:space="preserve"> </w:t>
      </w:r>
      <w:r w:rsidR="00184F7C" w:rsidRPr="00E75B1E">
        <w:t>In hetzelfde lid</w:t>
      </w:r>
      <w:r w:rsidR="00184F7C">
        <w:rPr>
          <w:b/>
          <w:bCs/>
        </w:rPr>
        <w:t xml:space="preserve"> </w:t>
      </w:r>
      <w:r>
        <w:t xml:space="preserve">is </w:t>
      </w:r>
      <w:r w:rsidR="00C54E7E">
        <w:t xml:space="preserve">onder e. </w:t>
      </w:r>
      <w:r>
        <w:t xml:space="preserve">een keuzebepaling toegevoegd die al dan niet overgenomen kan worden. Het kabinet is voorstander van meer vrouwen in de top van het bedrijfsleven. Op 6 november 2020 diende het kabinet een </w:t>
      </w:r>
      <w:r>
        <w:lastRenderedPageBreak/>
        <w:t>wetsvoorstel in bij de Tweede Kamer voor een ‘ingroeiquotum’</w:t>
      </w:r>
      <w:r w:rsidR="003602A3">
        <w:t xml:space="preserve"> voor grote </w:t>
      </w:r>
      <w:proofErr w:type="spellStart"/>
      <w:r w:rsidR="003602A3">
        <w:t>NV’s</w:t>
      </w:r>
      <w:proofErr w:type="spellEnd"/>
      <w:r w:rsidR="003602A3">
        <w:t xml:space="preserve"> en grote </w:t>
      </w:r>
      <w:proofErr w:type="spellStart"/>
      <w:r w:rsidR="003602A3">
        <w:t>BV’s</w:t>
      </w:r>
      <w:proofErr w:type="spellEnd"/>
      <w:r>
        <w:t xml:space="preserve">. Dit quotum is een streefcijfer voor de komende acht jaar en bedoeld om een meer gelijke man-vrouwverdeling te krijgen bij toezichthouders. Concreet moeten de </w:t>
      </w:r>
      <w:proofErr w:type="spellStart"/>
      <w:r>
        <w:t>RvC’s</w:t>
      </w:r>
      <w:proofErr w:type="spellEnd"/>
      <w:r>
        <w:t xml:space="preserve"> van beursge</w:t>
      </w:r>
      <w:r w:rsidR="001C308F">
        <w:t>n</w:t>
      </w:r>
      <w:r>
        <w:t>oteerde ondernemingen dan voor minstens een derde (33%) uit vrouwen en voor minstens een derde uit mannen bestaan. Dit wetsvoorstel wijzigt boek 2 van het Burgerlijk Wetboek om meer evenwicht aan te brengen in de samenstelling van grote bedrijven (</w:t>
      </w:r>
      <w:proofErr w:type="spellStart"/>
      <w:r>
        <w:t>BV's</w:t>
      </w:r>
      <w:proofErr w:type="spellEnd"/>
      <w:r>
        <w:t xml:space="preserve"> en </w:t>
      </w:r>
      <w:proofErr w:type="spellStart"/>
      <w:r>
        <w:t>NV's</w:t>
      </w:r>
      <w:proofErr w:type="spellEnd"/>
      <w:r>
        <w:t xml:space="preserve">). Het wetsvoorstel volgt op een advies van de </w:t>
      </w:r>
      <w:proofErr w:type="spellStart"/>
      <w:r>
        <w:t>Sociaal-Economische</w:t>
      </w:r>
      <w:proofErr w:type="spellEnd"/>
      <w:r>
        <w:t xml:space="preserve"> Raad (SER) van 20 september 2019</w:t>
      </w:r>
      <w:r w:rsidR="00E37D2E">
        <w:rPr>
          <w:rStyle w:val="Voetnootmarkering"/>
        </w:rPr>
        <w:footnoteReference w:id="6"/>
      </w:r>
      <w:r>
        <w:t xml:space="preserve">, dat naast genderdiversiteit ook culturele diversiteit behandelt. De SER pleit in haar advies onder meer voor stevige maatregelen en een integrale aanpak, omdat de groei van het aandeel vrouwen in topfuncties achter blijft bij de door het Kabinet gestelde doelstellingen. </w:t>
      </w:r>
    </w:p>
    <w:p w14:paraId="20C7E359" w14:textId="38715BC8" w:rsidR="00474527" w:rsidRDefault="001C308F" w:rsidP="00474527">
      <w:r>
        <w:t>De wet zal fors ingrijpen en de vrijheid van benoeming beperken. Zo zal wettelijk worden geregeld dat z</w:t>
      </w:r>
      <w:r w:rsidR="00474527">
        <w:t xml:space="preserve">olang de RvC </w:t>
      </w:r>
      <w:r w:rsidR="003602A3">
        <w:t xml:space="preserve">van een grote NV of grote BV </w:t>
      </w:r>
      <w:r w:rsidR="00474527">
        <w:t>niet voor ten minste een derde uit mannen en voor ten minste een derde uit vrouwen bestaat, een benoeming die de verdeling niet evenwichtiger maakt nietig</w:t>
      </w:r>
      <w:r>
        <w:t xml:space="preserve"> is</w:t>
      </w:r>
      <w:r w:rsidR="00474527">
        <w:t xml:space="preserve">. De vacature blijft dan open. Indien het aantal leden van de RvC of de niet-uitvoerende bestuurders niet door drie deelbaar is, wordt het naastgelegen hogere getal dat wel door drie deelbaar is in aanmerking genomen voor de vaststelling van het aantal leden van de RvC. Om rechtsonzekerheid te voorkomen, heeft de nietigheid van een benoeming geen gevolgen voor de rechtsgeldigheid van besluiten. Het voorgestelde diversiteitsquotum gaat gelden voor nieuwe benoemingen van commissarissen en dus niet voor herbenoemingen binnen acht jaar na het jaar van benoeming. In het wetsvoorstel is ook opgenomen dat grote </w:t>
      </w:r>
      <w:proofErr w:type="spellStart"/>
      <w:r w:rsidR="00474527">
        <w:t>NV’s</w:t>
      </w:r>
      <w:proofErr w:type="spellEnd"/>
      <w:r w:rsidR="00474527">
        <w:t xml:space="preserve"> en </w:t>
      </w:r>
      <w:proofErr w:type="spellStart"/>
      <w:r w:rsidR="00474527">
        <w:t>BV’s</w:t>
      </w:r>
      <w:proofErr w:type="spellEnd"/>
      <w:r w:rsidR="00474527">
        <w:t xml:space="preserve"> zelf passende en ambitieuze doelen in de vorm van een streefcijfer moeten vaststellen om genderdiversiteit in het bestuur en bij nader door de vennootschap te bepalen categorieën werknemers in leidinggevende functies te bevorderen en daartoe een plan op te stellen om de gestelde doelen te bereiken. </w:t>
      </w:r>
    </w:p>
    <w:p w14:paraId="7F25E3DB" w14:textId="56903C4C" w:rsidR="00474527" w:rsidRDefault="00474527" w:rsidP="00474527">
      <w:r>
        <w:t>Uit beantwoording van schriftelijke vragen vanuit de Tweede Kamer</w:t>
      </w:r>
      <w:r w:rsidR="005529D4">
        <w:rPr>
          <w:rStyle w:val="Voetnootmarkering"/>
        </w:rPr>
        <w:footnoteReference w:id="7"/>
      </w:r>
      <w:r>
        <w:t xml:space="preserve"> blijkt dat het kabinet wil bezien of dergelijk</w:t>
      </w:r>
      <w:r w:rsidR="001C308F">
        <w:t xml:space="preserve">e regels </w:t>
      </w:r>
      <w:r>
        <w:t xml:space="preserve">ook </w:t>
      </w:r>
      <w:r w:rsidR="001C308F">
        <w:t>van toepassing kunnen worden verklaard op</w:t>
      </w:r>
      <w:r>
        <w:t xml:space="preserve"> de semipublieke sector, waaronder woningcorporaties.”</w:t>
      </w:r>
      <w:r w:rsidR="00CB464C">
        <w:t xml:space="preserve"> </w:t>
      </w:r>
      <w:r>
        <w:t xml:space="preserve">Kijkend naar de ontwikkelingen bij de Wet Bestuur en Toezicht Rechtspersonen is dat laatste ook </w:t>
      </w:r>
      <w:r w:rsidR="001C308F">
        <w:t>wel</w:t>
      </w:r>
      <w:r>
        <w:t xml:space="preserve"> logisch. Was de (eerste) WBTR uit 2013 uitsluitend gericht op </w:t>
      </w:r>
      <w:proofErr w:type="spellStart"/>
      <w:r>
        <w:t>NV’s</w:t>
      </w:r>
      <w:proofErr w:type="spellEnd"/>
      <w:r>
        <w:t xml:space="preserve"> en </w:t>
      </w:r>
      <w:proofErr w:type="spellStart"/>
      <w:r>
        <w:t>BV’s</w:t>
      </w:r>
      <w:proofErr w:type="spellEnd"/>
      <w:r>
        <w:t xml:space="preserve">, in de op 1 juli 2021 in werking tredende gewijzigde WBTR wordt de systematiek zoals deze sinds 2013 geldt voor </w:t>
      </w:r>
      <w:proofErr w:type="spellStart"/>
      <w:r>
        <w:t>NV’s</w:t>
      </w:r>
      <w:proofErr w:type="spellEnd"/>
      <w:r>
        <w:t xml:space="preserve"> en </w:t>
      </w:r>
      <w:proofErr w:type="spellStart"/>
      <w:r>
        <w:t>BV’s</w:t>
      </w:r>
      <w:proofErr w:type="spellEnd"/>
      <w:r>
        <w:t xml:space="preserve"> één-op-één overgezet naar de andere rechtspersonen geregeld in boek 2 van het Burgerlijk Wetboek, waaronder in het bijzonder stichtingen en verenigingen.</w:t>
      </w:r>
    </w:p>
    <w:p w14:paraId="6BA35054" w14:textId="1CC55483" w:rsidR="00474527" w:rsidRDefault="00474527" w:rsidP="00474527">
      <w:r>
        <w:t xml:space="preserve">Het ligt </w:t>
      </w:r>
      <w:r w:rsidR="001C308F">
        <w:t xml:space="preserve">dan ook </w:t>
      </w:r>
      <w:r>
        <w:t xml:space="preserve">voor de hand dat een vergelijkbare ontwikkeling zich zal voordoen als het gaat om </w:t>
      </w:r>
      <w:r w:rsidR="001C308F">
        <w:t>(gender)</w:t>
      </w:r>
      <w:r>
        <w:t>diversiteit. Corporaties kunnen daarbij een defensieve afwachtende houding aannemen en wachten tot de in aantocht zijnde wettelijke verplichting op hen neer zal dalen, of zich proactief opstellen en datgene doen wat in de maatschappij van hen ook op dit punt zonder meer verlangd wordt. De laatstbedoelde actieve rol is te verkiezen boven de passieve afwachtende houding.</w:t>
      </w:r>
      <w:r w:rsidR="00CB464C">
        <w:t xml:space="preserve"> Overigens is de formulering van artikel 1</w:t>
      </w:r>
      <w:r w:rsidR="00177E18">
        <w:t>1</w:t>
      </w:r>
      <w:r w:rsidR="00CB464C">
        <w:t xml:space="preserve"> zodanig dat in alle gevallen de beste kandidaat (man of vrouw) tot benoeming zal worden voorgedragen.</w:t>
      </w:r>
    </w:p>
    <w:p w14:paraId="3B7307BC" w14:textId="203A3E84" w:rsidR="000F2467" w:rsidRDefault="00CD67FC" w:rsidP="00474527">
      <w:r>
        <w:t xml:space="preserve">Uit onderzoek </w:t>
      </w:r>
      <w:r w:rsidR="00F63417">
        <w:t>door de</w:t>
      </w:r>
      <w:r>
        <w:t xml:space="preserve"> VTW</w:t>
      </w:r>
      <w:r w:rsidR="008D25DE">
        <w:rPr>
          <w:rStyle w:val="Voetnootmarkering"/>
        </w:rPr>
        <w:footnoteReference w:id="8"/>
      </w:r>
      <w:r>
        <w:t xml:space="preserve"> blijkt dat op de peildatum </w:t>
      </w:r>
      <w:r w:rsidR="00D43E66">
        <w:t xml:space="preserve">van </w:t>
      </w:r>
      <w:r w:rsidR="000F2467" w:rsidRPr="00517638">
        <w:t xml:space="preserve">19 april 2021 </w:t>
      </w:r>
      <w:r w:rsidR="00D43E66">
        <w:t>ruim</w:t>
      </w:r>
      <w:r w:rsidR="000F2467" w:rsidRPr="00517638">
        <w:t xml:space="preserve"> 38% van de </w:t>
      </w:r>
      <w:r w:rsidR="000F2467">
        <w:t xml:space="preserve">bij de VTW aangesloten commissarissen </w:t>
      </w:r>
      <w:r w:rsidR="000F2467" w:rsidRPr="00517638">
        <w:t>vrouw</w:t>
      </w:r>
      <w:r w:rsidR="00D43E66">
        <w:t xml:space="preserve"> is</w:t>
      </w:r>
      <w:r w:rsidR="006D5941">
        <w:t xml:space="preserve"> en dat </w:t>
      </w:r>
      <w:r w:rsidR="008D25DE">
        <w:t>2</w:t>
      </w:r>
      <w:r w:rsidR="006D5941">
        <w:t xml:space="preserve">5% van de </w:t>
      </w:r>
      <w:proofErr w:type="spellStart"/>
      <w:r w:rsidR="006D5941" w:rsidRPr="0073658B">
        <w:t>RvC's</w:t>
      </w:r>
      <w:proofErr w:type="spellEnd"/>
      <w:r w:rsidR="006D5941" w:rsidRPr="0073658B">
        <w:t xml:space="preserve"> </w:t>
      </w:r>
      <w:r w:rsidR="008D25DE">
        <w:t xml:space="preserve">(nog) niet voldoet aan </w:t>
      </w:r>
      <w:r w:rsidR="006D5941" w:rsidRPr="0073658B">
        <w:t>'minimaal 30% vrouwen' in de RvC</w:t>
      </w:r>
      <w:r w:rsidR="004A70E5">
        <w:t xml:space="preserve"> </w:t>
      </w:r>
      <w:r w:rsidR="007751BA">
        <w:t xml:space="preserve">(meer dan 95% van alle </w:t>
      </w:r>
      <w:r w:rsidR="00BA6EB7">
        <w:t>corporatiecommissarissen zijn lid van de VTW)</w:t>
      </w:r>
      <w:r w:rsidR="000F2467" w:rsidRPr="00517638">
        <w:t xml:space="preserve">. </w:t>
      </w:r>
      <w:r w:rsidR="006E260B">
        <w:t>B</w:t>
      </w:r>
      <w:r w:rsidR="0073658B" w:rsidRPr="0073658B">
        <w:t xml:space="preserve">ij 5% van de </w:t>
      </w:r>
      <w:proofErr w:type="spellStart"/>
      <w:r w:rsidR="0073658B" w:rsidRPr="0073658B">
        <w:t>RvC's</w:t>
      </w:r>
      <w:proofErr w:type="spellEnd"/>
      <w:r w:rsidR="0073658B" w:rsidRPr="0073658B">
        <w:t xml:space="preserve"> is zelfs geen enkele vrouw in de raad vertegenwoordigd</w:t>
      </w:r>
      <w:r>
        <w:t>.</w:t>
      </w:r>
      <w:r w:rsidR="000F2467">
        <w:t xml:space="preserve"> </w:t>
      </w:r>
    </w:p>
    <w:p w14:paraId="0520FF6F" w14:textId="1A3D4454" w:rsidR="00653913" w:rsidRDefault="00653913" w:rsidP="00474527">
      <w:r>
        <w:lastRenderedPageBreak/>
        <w:t xml:space="preserve">Voor de goede orde verwijzen wij ook nog naar de </w:t>
      </w:r>
      <w:r w:rsidR="00BA2D13">
        <w:t>limiterings</w:t>
      </w:r>
      <w:r>
        <w:t xml:space="preserve">regeling in boek 2 </w:t>
      </w:r>
      <w:r w:rsidR="003602A3">
        <w:t xml:space="preserve">van het Burgerlijk Wetboek </w:t>
      </w:r>
      <w:r>
        <w:t xml:space="preserve">over een maximum aantal commissariaten </w:t>
      </w:r>
      <w:bookmarkStart w:id="4" w:name="OpenAt"/>
      <w:bookmarkEnd w:id="4"/>
      <w:r>
        <w:t>(‘</w:t>
      </w:r>
      <w:proofErr w:type="spellStart"/>
      <w:r>
        <w:t>Irrgang</w:t>
      </w:r>
      <w:proofErr w:type="spellEnd"/>
      <w:r>
        <w:t>-punten’)</w:t>
      </w:r>
      <w:r w:rsidR="002B3E82">
        <w:t>.</w:t>
      </w:r>
      <w:r w:rsidR="002B3E82">
        <w:rPr>
          <w:rStyle w:val="Voetnootmarkering"/>
        </w:rPr>
        <w:footnoteReference w:id="9"/>
      </w:r>
    </w:p>
    <w:p w14:paraId="28BD4022" w14:textId="691AA47E" w:rsidR="00A54C2B" w:rsidRDefault="00C020E2">
      <w:r>
        <w:t xml:space="preserve">Het zal niemand verwonderen dat ook </w:t>
      </w:r>
      <w:r w:rsidRPr="00C020E2">
        <w:rPr>
          <w:b/>
          <w:bCs/>
        </w:rPr>
        <w:t>artikel 14</w:t>
      </w:r>
      <w:r>
        <w:t xml:space="preserve"> (Onverenigbaarheden Raad van Commissarissen) gewijzigd is in dezelfde lijn als de regeling voor bestuurders </w:t>
      </w:r>
      <w:r w:rsidR="00A54C2B">
        <w:t xml:space="preserve">in artikel 5 </w:t>
      </w:r>
      <w:r>
        <w:t>aangepast is.</w:t>
      </w:r>
      <w:r w:rsidR="00A54C2B">
        <w:t xml:space="preserve"> Kortheidshalve wordt naar de toelichting op artikel 5 verwezen.</w:t>
      </w:r>
    </w:p>
    <w:p w14:paraId="107D97DF" w14:textId="137E542B" w:rsidR="00FF5DF2" w:rsidRPr="002B3E82" w:rsidRDefault="00FB62AE" w:rsidP="005276F4">
      <w:pPr>
        <w:pStyle w:val="Tekstopmerking"/>
      </w:pPr>
      <w:r w:rsidRPr="002B3E82">
        <w:rPr>
          <w:sz w:val="22"/>
          <w:szCs w:val="22"/>
        </w:rPr>
        <w:t xml:space="preserve">In de toelichting op artikel 26 van de Woningwet is in 2012 opgemerkt: </w:t>
      </w:r>
      <w:r w:rsidRPr="005276F4">
        <w:rPr>
          <w:sz w:val="22"/>
          <w:szCs w:val="22"/>
        </w:rPr>
        <w:t>Er is geen verschil beoogd tussen «voorafgaande instemming» en «goedkeuring». Via de nota van wijziging is bewerkstelligd dat nu overal in het wetsvoorstel de term «goedkeuring» wordt gebruikt</w:t>
      </w:r>
      <w:r w:rsidRPr="002B3E82">
        <w:rPr>
          <w:sz w:val="22"/>
          <w:szCs w:val="22"/>
        </w:rPr>
        <w:t>.</w:t>
      </w:r>
      <w:r w:rsidR="002B3E82">
        <w:rPr>
          <w:rStyle w:val="Voetnootmarkering"/>
          <w:sz w:val="22"/>
          <w:szCs w:val="22"/>
        </w:rPr>
        <w:footnoteReference w:id="10"/>
      </w:r>
      <w:r w:rsidRPr="002B3E82">
        <w:rPr>
          <w:sz w:val="22"/>
          <w:szCs w:val="22"/>
        </w:rPr>
        <w:t xml:space="preserve"> Om die reden is het woord voorafgaand weggehaald uit het model. </w:t>
      </w:r>
    </w:p>
    <w:p w14:paraId="74DAEE27" w14:textId="72AABE87" w:rsidR="001C308F" w:rsidRDefault="00F40B93">
      <w:r>
        <w:t xml:space="preserve">In </w:t>
      </w:r>
      <w:r w:rsidRPr="006E1A8C">
        <w:rPr>
          <w:b/>
          <w:bCs/>
        </w:rPr>
        <w:t>artikel 14</w:t>
      </w:r>
      <w:r>
        <w:t xml:space="preserve"> is de </w:t>
      </w:r>
      <w:r w:rsidRPr="00F40B93">
        <w:t>uitgebreide lijst met voor co</w:t>
      </w:r>
      <w:r>
        <w:t xml:space="preserve">mmissarissen </w:t>
      </w:r>
      <w:r w:rsidRPr="00F40B93">
        <w:t>onverenigbare functies</w:t>
      </w:r>
      <w:r>
        <w:t xml:space="preserve"> vervangen door het uitgangspunt hierachter (zie de toelichting over artikel 5</w:t>
      </w:r>
      <w:r w:rsidR="006E1A8C">
        <w:t>).</w:t>
      </w:r>
      <w:r>
        <w:t xml:space="preserve"> </w:t>
      </w:r>
    </w:p>
    <w:p w14:paraId="5543EE6A" w14:textId="3969611B" w:rsidR="00A54C2B" w:rsidRPr="005B1CF1" w:rsidRDefault="00A54C2B" w:rsidP="005B1CF1">
      <w:pPr>
        <w:pStyle w:val="Kop1"/>
        <w:rPr>
          <w:rFonts w:asciiTheme="minorHAnsi" w:hAnsiTheme="minorHAnsi"/>
          <w:color w:val="000000" w:themeColor="text1"/>
          <w:sz w:val="22"/>
          <w:szCs w:val="22"/>
          <w:u w:val="single"/>
        </w:rPr>
      </w:pPr>
      <w:bookmarkStart w:id="5" w:name="_Toc79489149"/>
      <w:r w:rsidRPr="005B1CF1">
        <w:rPr>
          <w:rFonts w:asciiTheme="minorHAnsi" w:hAnsiTheme="minorHAnsi"/>
          <w:color w:val="000000" w:themeColor="text1"/>
          <w:sz w:val="22"/>
          <w:szCs w:val="22"/>
          <w:u w:val="single"/>
        </w:rPr>
        <w:t>Verkorte modelstatuten woningstichting</w:t>
      </w:r>
      <w:bookmarkEnd w:id="5"/>
    </w:p>
    <w:p w14:paraId="3C31BCEE" w14:textId="2AB2C5AE" w:rsidR="001C308F" w:rsidRDefault="00A54C2B">
      <w:r>
        <w:t xml:space="preserve">Er blijkt behoefte te bestaan aan een verkorte versie van de statuten. In de hier voor beschreven (uitgebreide) statuten wordt een aantal bepalingen uit de Woningwet, het </w:t>
      </w:r>
      <w:proofErr w:type="spellStart"/>
      <w:r>
        <w:t>Btiv</w:t>
      </w:r>
      <w:proofErr w:type="spellEnd"/>
      <w:r>
        <w:t xml:space="preserve"> en de Ministeriële Regeling overgenomen. Dat heeft als voordeel</w:t>
      </w:r>
      <w:r w:rsidR="00CB464C">
        <w:t>,</w:t>
      </w:r>
      <w:r>
        <w:t xml:space="preserve"> dat eenieder de relevante toepasselijke spelregels</w:t>
      </w:r>
      <w:r w:rsidR="00284F3B">
        <w:t xml:space="preserve"> kan</w:t>
      </w:r>
      <w:r>
        <w:t xml:space="preserve"> terugvinden. Tegelijk is dat ook een nadeel. Telkens als de op woningcorporaties toepasselijke regelgeving van de overheid een wijziging ondergaat </w:t>
      </w:r>
      <w:r w:rsidR="00CB464C">
        <w:t xml:space="preserve">(en dat is de afgelopen jaren regelmatig het geval geweest) </w:t>
      </w:r>
      <w:r>
        <w:t>moet deze verwerkt worden in een statutenwijziging waaruit een forse hoeveelheid administratieve rompslomp voortvloeit (opstellen</w:t>
      </w:r>
      <w:r w:rsidR="00CB464C">
        <w:t xml:space="preserve"> conceptstatuten</w:t>
      </w:r>
      <w:r>
        <w:t xml:space="preserve">, </w:t>
      </w:r>
      <w:r w:rsidR="00CB464C">
        <w:t xml:space="preserve">advies opvragen, </w:t>
      </w:r>
      <w:r>
        <w:t xml:space="preserve">naar de notaris, goedkeuringsprocedure enz.). </w:t>
      </w:r>
    </w:p>
    <w:p w14:paraId="2886EB29" w14:textId="1E6F3C0C" w:rsidR="00CB464C" w:rsidRDefault="00A54C2B">
      <w:r>
        <w:t xml:space="preserve">De verkorte statuten zijn zodanig opgesteld dat daarin niet de regelgeving woordelijk wordt overgenomen. Volstaan wordt met een verwijzing naar die regelgeving. Het voordeel daarvan is dat in de meeste gevallen een wijziging van de </w:t>
      </w:r>
      <w:r w:rsidR="001C308F">
        <w:t>(semi) wettelijke regels</w:t>
      </w:r>
      <w:r>
        <w:t xml:space="preserve"> geen gevolgen heeft voor de statuten. Nadeel is dat</w:t>
      </w:r>
      <w:r w:rsidR="001C308F">
        <w:t xml:space="preserve"> -</w:t>
      </w:r>
      <w:r>
        <w:t xml:space="preserve"> om zicht te krijgen welke spe</w:t>
      </w:r>
      <w:r w:rsidR="00206D00">
        <w:t>l</w:t>
      </w:r>
      <w:r>
        <w:t xml:space="preserve">regels van toepassing zijn </w:t>
      </w:r>
      <w:r w:rsidR="001C308F">
        <w:t xml:space="preserve">- </w:t>
      </w:r>
      <w:r>
        <w:t xml:space="preserve">naast de </w:t>
      </w:r>
      <w:r w:rsidR="00CB464C">
        <w:t xml:space="preserve">verkorte </w:t>
      </w:r>
      <w:r>
        <w:t>statuten</w:t>
      </w:r>
      <w:r w:rsidR="001C308F">
        <w:t xml:space="preserve">, </w:t>
      </w:r>
      <w:r>
        <w:t xml:space="preserve">ook andere bronnen (Woningwet, </w:t>
      </w:r>
      <w:proofErr w:type="spellStart"/>
      <w:r>
        <w:t>Btiv</w:t>
      </w:r>
      <w:proofErr w:type="spellEnd"/>
      <w:r>
        <w:t xml:space="preserve"> enz.) geraadpleegd moeten worden. Een tip voor corporaties die de verkorte versie willen </w:t>
      </w:r>
      <w:r w:rsidR="001C308F">
        <w:t xml:space="preserve">gaan gebruiken, en daarbij </w:t>
      </w:r>
      <w:r>
        <w:t>het mogelijk</w:t>
      </w:r>
      <w:r w:rsidR="00CB464C">
        <w:t>e</w:t>
      </w:r>
      <w:r>
        <w:t xml:space="preserve"> probleem van het moeten raadplegen van meerder bronnen willen ondervangen is, om de uitgebreide versie van de </w:t>
      </w:r>
      <w:r w:rsidR="00CB464C">
        <w:t>model</w:t>
      </w:r>
      <w:r>
        <w:t>statuten</w:t>
      </w:r>
      <w:r w:rsidR="00CB464C">
        <w:t xml:space="preserve"> als naslagwerk in het dossier op te nemen. </w:t>
      </w:r>
    </w:p>
    <w:p w14:paraId="0764236A" w14:textId="77777777" w:rsidR="001C308F" w:rsidRDefault="001C308F"/>
    <w:p w14:paraId="06165C06" w14:textId="7E08F127" w:rsidR="00641624" w:rsidRPr="005B1CF1" w:rsidRDefault="00641624" w:rsidP="005B1CF1">
      <w:pPr>
        <w:pStyle w:val="Kop1"/>
        <w:rPr>
          <w:rFonts w:asciiTheme="minorHAnsi" w:hAnsiTheme="minorHAnsi"/>
          <w:color w:val="000000" w:themeColor="text1"/>
          <w:sz w:val="22"/>
          <w:szCs w:val="22"/>
          <w:u w:val="single"/>
        </w:rPr>
      </w:pPr>
      <w:bookmarkStart w:id="6" w:name="_Toc79489150"/>
      <w:r w:rsidRPr="005B1CF1">
        <w:rPr>
          <w:rFonts w:asciiTheme="minorHAnsi" w:hAnsiTheme="minorHAnsi"/>
          <w:color w:val="000000" w:themeColor="text1"/>
          <w:sz w:val="22"/>
          <w:szCs w:val="22"/>
          <w:u w:val="single"/>
        </w:rPr>
        <w:t>Schema van sturing en verantwoording</w:t>
      </w:r>
      <w:bookmarkEnd w:id="6"/>
    </w:p>
    <w:p w14:paraId="45AB1C5E" w14:textId="27AF602B" w:rsidR="00641624" w:rsidRDefault="00641624" w:rsidP="00641624">
      <w:r>
        <w:t xml:space="preserve">Dit schema is uitgebreid met de Volkshuisvestelijke Prioriteiten (2021-2025), die zijn toegevoegd aan het blok </w:t>
      </w:r>
      <w:proofErr w:type="spellStart"/>
      <w:r>
        <w:t>Toezichtskader</w:t>
      </w:r>
      <w:proofErr w:type="spellEnd"/>
      <w:r>
        <w:t>.  De achtergrond daarvan is dat de Minister van BZK de volkshuisvestelijke prioriteiten voor 2021-2025 heeft geactualiseerd en vastgesteld en deze bij brief van 30 november 2020 aan de Eerste en Tweede Kamer heeft doen toekomen. Er zijn enkele accentverschuivingen en aanscherpingen. De belangrijkste aanpassingen zijn dat de betaalbaarheid een aparte prioriteit is geworden en dat leefbaarheid als prioriteit is toegevoegd.</w:t>
      </w:r>
    </w:p>
    <w:p w14:paraId="506C2A13" w14:textId="77777777" w:rsidR="00641624" w:rsidRDefault="00641624" w:rsidP="00641624">
      <w:r>
        <w:t xml:space="preserve">De zes prioriteiten van de corporatiesector voor de periode van 2021-2025 zijn, in willekeurige volgorde: </w:t>
      </w:r>
    </w:p>
    <w:p w14:paraId="6096F244" w14:textId="134C4B4F" w:rsidR="00641624" w:rsidRPr="00641624" w:rsidRDefault="00641624" w:rsidP="00641624">
      <w:pPr>
        <w:spacing w:after="0" w:line="240" w:lineRule="auto"/>
        <w:rPr>
          <w:i/>
          <w:iCs/>
        </w:rPr>
      </w:pPr>
      <w:r>
        <w:t xml:space="preserve">• </w:t>
      </w:r>
      <w:r>
        <w:tab/>
      </w:r>
      <w:r w:rsidRPr="00641624">
        <w:rPr>
          <w:i/>
          <w:iCs/>
        </w:rPr>
        <w:t xml:space="preserve">Bijdragen aan de bouwopgave – door versnellen nieuwbouw sociale huurwoningen </w:t>
      </w:r>
    </w:p>
    <w:p w14:paraId="19D912F7" w14:textId="70F1D4B6" w:rsidR="00641624" w:rsidRPr="00641624" w:rsidRDefault="00641624" w:rsidP="00641624">
      <w:pPr>
        <w:spacing w:after="0" w:line="240" w:lineRule="auto"/>
        <w:rPr>
          <w:i/>
          <w:iCs/>
        </w:rPr>
      </w:pPr>
      <w:r w:rsidRPr="00641624">
        <w:rPr>
          <w:i/>
          <w:iCs/>
        </w:rPr>
        <w:t xml:space="preserve">• </w:t>
      </w:r>
      <w:r w:rsidRPr="00641624">
        <w:rPr>
          <w:i/>
          <w:iCs/>
        </w:rPr>
        <w:tab/>
        <w:t xml:space="preserve">Zorgen voor betaalbaarheid – door inzet van lokaal maatwerk </w:t>
      </w:r>
    </w:p>
    <w:p w14:paraId="37B955AA" w14:textId="087A411B" w:rsidR="00641624" w:rsidRPr="00641624" w:rsidRDefault="00641624" w:rsidP="00641624">
      <w:pPr>
        <w:spacing w:after="0" w:line="240" w:lineRule="auto"/>
        <w:ind w:left="705" w:hanging="705"/>
        <w:rPr>
          <w:i/>
          <w:iCs/>
        </w:rPr>
      </w:pPr>
      <w:r w:rsidRPr="00641624">
        <w:rPr>
          <w:i/>
          <w:iCs/>
        </w:rPr>
        <w:lastRenderedPageBreak/>
        <w:t xml:space="preserve">• </w:t>
      </w:r>
      <w:r w:rsidRPr="00641624">
        <w:rPr>
          <w:i/>
          <w:iCs/>
        </w:rPr>
        <w:tab/>
        <w:t xml:space="preserve">Investeren in een duurzame sociale huurwoningvoorraad – door aandacht voor kwaliteitsaspecten en inzet op isolatie en de energietransitie </w:t>
      </w:r>
    </w:p>
    <w:p w14:paraId="5C181C9E" w14:textId="55206D5E" w:rsidR="00641624" w:rsidRPr="00641624" w:rsidRDefault="00641624" w:rsidP="00641624">
      <w:pPr>
        <w:spacing w:after="0" w:line="240" w:lineRule="auto"/>
        <w:rPr>
          <w:i/>
          <w:iCs/>
        </w:rPr>
      </w:pPr>
      <w:r w:rsidRPr="00641624">
        <w:rPr>
          <w:i/>
          <w:iCs/>
        </w:rPr>
        <w:t xml:space="preserve">• </w:t>
      </w:r>
      <w:r w:rsidRPr="00641624">
        <w:rPr>
          <w:i/>
          <w:iCs/>
        </w:rPr>
        <w:tab/>
        <w:t xml:space="preserve">Realiseren van wonen met zorg – door passende woonvormen en samenwerking </w:t>
      </w:r>
    </w:p>
    <w:p w14:paraId="240ECCA4" w14:textId="581090B4" w:rsidR="00641624" w:rsidRPr="00641624" w:rsidRDefault="00641624" w:rsidP="00641624">
      <w:pPr>
        <w:spacing w:after="0" w:line="240" w:lineRule="auto"/>
        <w:ind w:left="705" w:hanging="705"/>
        <w:rPr>
          <w:i/>
          <w:iCs/>
        </w:rPr>
      </w:pPr>
      <w:r w:rsidRPr="00641624">
        <w:rPr>
          <w:i/>
          <w:iCs/>
        </w:rPr>
        <w:t xml:space="preserve">• </w:t>
      </w:r>
      <w:r w:rsidRPr="00641624">
        <w:rPr>
          <w:i/>
          <w:iCs/>
        </w:rPr>
        <w:tab/>
        <w:t xml:space="preserve">Huisvesten van spoedzoekers – door tijdelijke oplossingen en minder conventionele wijzen van huisvesting </w:t>
      </w:r>
    </w:p>
    <w:p w14:paraId="66CD70FD" w14:textId="78F52140" w:rsidR="00641624" w:rsidRPr="00641624" w:rsidRDefault="00641624" w:rsidP="00641624">
      <w:pPr>
        <w:spacing w:after="0" w:line="240" w:lineRule="auto"/>
        <w:ind w:left="705" w:hanging="705"/>
        <w:rPr>
          <w:i/>
          <w:iCs/>
        </w:rPr>
      </w:pPr>
      <w:r w:rsidRPr="00641624">
        <w:rPr>
          <w:i/>
          <w:iCs/>
        </w:rPr>
        <w:t xml:space="preserve">• </w:t>
      </w:r>
      <w:r w:rsidRPr="00641624">
        <w:rPr>
          <w:i/>
          <w:iCs/>
        </w:rPr>
        <w:tab/>
        <w:t xml:space="preserve">Investeren in leefbaarheid </w:t>
      </w:r>
      <w:r w:rsidR="009B5834" w:rsidRPr="009B5834">
        <w:rPr>
          <w:i/>
          <w:iCs/>
        </w:rPr>
        <w:t>–</w:t>
      </w:r>
      <w:r w:rsidRPr="00641624">
        <w:rPr>
          <w:i/>
          <w:iCs/>
        </w:rPr>
        <w:t xml:space="preserve"> door differentiatie van wijken, ontmoeting tussen bewoners en sociaal beheer </w:t>
      </w:r>
    </w:p>
    <w:p w14:paraId="11C0D56E" w14:textId="77777777" w:rsidR="00641624" w:rsidRDefault="00641624">
      <w:pPr>
        <w:rPr>
          <w:b/>
          <w:bCs/>
        </w:rPr>
      </w:pPr>
    </w:p>
    <w:p w14:paraId="03885269" w14:textId="1520C79B" w:rsidR="00474527" w:rsidRPr="00FE7767" w:rsidRDefault="00E4735E" w:rsidP="00FE7767">
      <w:pPr>
        <w:pStyle w:val="Kop1"/>
        <w:rPr>
          <w:rFonts w:asciiTheme="minorHAnsi" w:hAnsiTheme="minorHAnsi"/>
          <w:sz w:val="22"/>
          <w:szCs w:val="22"/>
          <w:u w:val="single"/>
        </w:rPr>
      </w:pPr>
      <w:bookmarkStart w:id="7" w:name="_Toc79489151"/>
      <w:r>
        <w:rPr>
          <w:rFonts w:asciiTheme="minorHAnsi" w:hAnsiTheme="minorHAnsi"/>
          <w:color w:val="000000" w:themeColor="text1"/>
          <w:sz w:val="22"/>
          <w:szCs w:val="22"/>
          <w:u w:val="single"/>
        </w:rPr>
        <w:t>Modelreglement voor de Raad van Commissarissen</w:t>
      </w:r>
      <w:bookmarkEnd w:id="7"/>
      <w:r w:rsidR="00A54C2B" w:rsidRPr="00FE7767">
        <w:rPr>
          <w:rFonts w:asciiTheme="minorHAnsi" w:hAnsiTheme="minorHAnsi"/>
          <w:color w:val="000000" w:themeColor="text1"/>
          <w:sz w:val="22"/>
          <w:szCs w:val="22"/>
          <w:u w:val="single"/>
        </w:rPr>
        <w:t xml:space="preserve"> </w:t>
      </w:r>
      <w:r w:rsidR="00A54C2B" w:rsidRPr="00FE7767">
        <w:rPr>
          <w:rFonts w:asciiTheme="minorHAnsi" w:hAnsiTheme="minorHAnsi"/>
          <w:sz w:val="22"/>
          <w:szCs w:val="22"/>
          <w:u w:val="single"/>
        </w:rPr>
        <w:t xml:space="preserve">   </w:t>
      </w:r>
    </w:p>
    <w:p w14:paraId="405F420E" w14:textId="44E10E3C" w:rsidR="00641624" w:rsidRDefault="00641624">
      <w:r>
        <w:t xml:space="preserve">In </w:t>
      </w:r>
      <w:r w:rsidRPr="00641624">
        <w:rPr>
          <w:b/>
          <w:bCs/>
        </w:rPr>
        <w:t>artikel 1</w:t>
      </w:r>
      <w:r w:rsidR="00241119">
        <w:t xml:space="preserve"> (definities)</w:t>
      </w:r>
      <w:r>
        <w:t xml:space="preserve"> is de omschrijving van Bewonerscommissie (met een verwijzing naar de Wet</w:t>
      </w:r>
      <w:r w:rsidR="00A109E2">
        <w:t xml:space="preserve"> </w:t>
      </w:r>
      <w:r>
        <w:t>overleg huurder verhuurder) opgenomen.</w:t>
      </w:r>
    </w:p>
    <w:p w14:paraId="5F7A8017" w14:textId="7E95CFD5" w:rsidR="00641624" w:rsidRPr="00641624" w:rsidRDefault="00641624">
      <w:r>
        <w:t xml:space="preserve">In </w:t>
      </w:r>
      <w:r w:rsidRPr="00641624">
        <w:rPr>
          <w:b/>
          <w:bCs/>
        </w:rPr>
        <w:t>artikel 2</w:t>
      </w:r>
      <w:r>
        <w:t xml:space="preserve"> is toegevoegd dat het reglement voor de RvC wordt uitgebreid met bijlage E, te weten het reglement financieel beleid en beheer.  </w:t>
      </w:r>
    </w:p>
    <w:p w14:paraId="765381BE" w14:textId="2C5F59C6" w:rsidR="00641624" w:rsidRDefault="00641624">
      <w:r w:rsidRPr="00641624">
        <w:t>In</w:t>
      </w:r>
      <w:r>
        <w:rPr>
          <w:b/>
          <w:bCs/>
        </w:rPr>
        <w:t xml:space="preserve"> artikel 3 </w:t>
      </w:r>
      <w:r>
        <w:t xml:space="preserve">is onder g de versoepelde regeling voor wat betreft de benoemingsperiode van commissarissen (zie hiervoor de artikelen </w:t>
      </w:r>
      <w:r w:rsidR="00833BB9">
        <w:t>11</w:t>
      </w:r>
      <w:r>
        <w:t xml:space="preserve"> van de </w:t>
      </w:r>
      <w:r w:rsidR="001C308F">
        <w:t>model</w:t>
      </w:r>
      <w:r>
        <w:t>statuten) ook in het reglement voor de RvC verwerkt.</w:t>
      </w:r>
    </w:p>
    <w:p w14:paraId="38D07E61" w14:textId="08EBFE0D" w:rsidR="00641624" w:rsidRDefault="00F52624">
      <w:pPr>
        <w:rPr>
          <w:b/>
          <w:bCs/>
        </w:rPr>
      </w:pPr>
      <w:r w:rsidRPr="00F52624">
        <w:t xml:space="preserve">Aan </w:t>
      </w:r>
      <w:r>
        <w:rPr>
          <w:b/>
          <w:bCs/>
        </w:rPr>
        <w:t>a</w:t>
      </w:r>
      <w:r w:rsidRPr="00F52624">
        <w:rPr>
          <w:b/>
          <w:bCs/>
        </w:rPr>
        <w:t>rtikel 13</w:t>
      </w:r>
      <w:r>
        <w:rPr>
          <w:b/>
          <w:bCs/>
        </w:rPr>
        <w:t xml:space="preserve"> </w:t>
      </w:r>
      <w:r w:rsidRPr="00F52624">
        <w:t xml:space="preserve">is de bepaling “Bestuurders zijn natuurlijke personen” </w:t>
      </w:r>
      <w:r>
        <w:t>(</w:t>
      </w:r>
      <w:r w:rsidRPr="00F52624">
        <w:t>die</w:t>
      </w:r>
      <w:r>
        <w:t xml:space="preserve"> uit de statuten is gehaald) toegevoegd.</w:t>
      </w:r>
      <w:r w:rsidRPr="00F52624">
        <w:rPr>
          <w:b/>
          <w:bCs/>
        </w:rPr>
        <w:t xml:space="preserve"> </w:t>
      </w:r>
    </w:p>
    <w:p w14:paraId="674F5DF0" w14:textId="6103CA5C" w:rsidR="00F52624" w:rsidRDefault="00F52624" w:rsidP="00F52624">
      <w:r>
        <w:rPr>
          <w:b/>
          <w:bCs/>
        </w:rPr>
        <w:t xml:space="preserve">Artikel 14 </w:t>
      </w:r>
      <w:r w:rsidRPr="00F52624">
        <w:t xml:space="preserve">lid </w:t>
      </w:r>
      <w:r>
        <w:t>9 bevat nu een bepaling waarmee geborgd wordt dat de RvC over het vereiste aantal op voordracht van de huurdersorganisaties benoemde commissarissen dient te beschikken om rechtsgeldige besluiten te kunnen nemen. De oude tekst van lid 9 is met enkele tekstuele aanpassingen verplaatst naar het 10</w:t>
      </w:r>
      <w:r w:rsidRPr="00F52624">
        <w:rPr>
          <w:vertAlign w:val="superscript"/>
        </w:rPr>
        <w:t>e</w:t>
      </w:r>
      <w:r>
        <w:t xml:space="preserve"> lid. Het oude lid 10 luidende “In geval van staken der stemmen is de stem van de voorzitter beslissend” is geschrapt, aangezien een oplossingsrichting zoals deze ook binnen het openbaar bestuur wordt toegepast </w:t>
      </w:r>
      <w:r w:rsidR="00A109E2">
        <w:t xml:space="preserve">en </w:t>
      </w:r>
      <w:r>
        <w:t>tot besluitvorming met meer draagvlak zal leiden. Binnen het openbaar bestuur geldt als hoofdlijn dat ingeval van staken der stemmen (evenveel stemmen voor als tegen) het voorstel wegens onvoldoend</w:t>
      </w:r>
      <w:r w:rsidR="009A0D77">
        <w:t>e</w:t>
      </w:r>
      <w:r>
        <w:t xml:space="preserve"> draagvlak geacht moet worden te zijn verworpen. Om een voorstel aan te nemen is immers een meerderheid van stemmen (de helft plus één) noodzakelijk en die is er niet. Het staat dan de indiener van het voorstel vrij om dat voorstel zodanig aan te passen dat wel een meerderheid van stemmen (en daarmee voldoende draagvlak) voor dat voorstel verkregen wordt.</w:t>
      </w:r>
    </w:p>
    <w:p w14:paraId="7454EE62" w14:textId="4D1055A9" w:rsidR="00925F4D" w:rsidRDefault="009A0D77" w:rsidP="00F52624">
      <w:r>
        <w:t xml:space="preserve">In </w:t>
      </w:r>
      <w:r w:rsidRPr="009A0D77">
        <w:rPr>
          <w:b/>
          <w:bCs/>
        </w:rPr>
        <w:t>artikel 16</w:t>
      </w:r>
      <w:r w:rsidRPr="009A0D77">
        <w:t xml:space="preserve"> </w:t>
      </w:r>
      <w:r>
        <w:t xml:space="preserve">lid 2 </w:t>
      </w:r>
      <w:r w:rsidRPr="009A0D77">
        <w:t xml:space="preserve">is </w:t>
      </w:r>
      <w:r w:rsidR="00B75C73" w:rsidRPr="00C6069C">
        <w:t xml:space="preserve">‘pas toe’ bepaling 5.7 </w:t>
      </w:r>
      <w:proofErr w:type="spellStart"/>
      <w:r w:rsidR="00B75C73" w:rsidRPr="00C6069C">
        <w:t>G</w:t>
      </w:r>
      <w:r w:rsidR="00BD2C1A">
        <w:t>overnancecode</w:t>
      </w:r>
      <w:proofErr w:type="spellEnd"/>
      <w:r w:rsidR="00BD2C1A">
        <w:t xml:space="preserve"> Woningcorporaties</w:t>
      </w:r>
      <w:r w:rsidR="004C0F81">
        <w:t xml:space="preserve"> </w:t>
      </w:r>
      <w:r w:rsidRPr="009A0D77">
        <w:t>verwerkt</w:t>
      </w:r>
      <w:r w:rsidR="00DE763B">
        <w:t xml:space="preserve"> </w:t>
      </w:r>
      <w:r w:rsidR="00847E0D" w:rsidRPr="00847E0D">
        <w:t>die zowel geldt voor OOB als niet-OOB corporaties</w:t>
      </w:r>
      <w:r w:rsidRPr="009A0D77">
        <w:t xml:space="preserve">. </w:t>
      </w:r>
      <w:r w:rsidR="00D23128">
        <w:t xml:space="preserve">De </w:t>
      </w:r>
      <w:r w:rsidR="00824BE1" w:rsidRPr="00C6069C">
        <w:t xml:space="preserve">RvC benoemt de externe accountant (het accountantskantoor) steeds voor een periode van maximaal 4 jaar, waarbij de maximale opdrachtduur niet meer mag zijn dan in totaal 10 jaar. </w:t>
      </w:r>
      <w:r>
        <w:t xml:space="preserve">Tot slot is aan de slotbepalingen neergelegd in </w:t>
      </w:r>
      <w:r w:rsidRPr="009A0D77">
        <w:rPr>
          <w:b/>
          <w:bCs/>
        </w:rPr>
        <w:t>artikel 22</w:t>
      </w:r>
      <w:r>
        <w:t xml:space="preserve"> toegevoegd dat ook bij een herbenoeming als commissaris betrokkene verklaart zich te conformeren aan de statuten en reglementen van de woningcorporatie. </w:t>
      </w:r>
    </w:p>
    <w:p w14:paraId="15DEC870" w14:textId="77777777" w:rsidR="00EB38AD" w:rsidRPr="009A0D77" w:rsidRDefault="00EB38AD" w:rsidP="00F52624"/>
    <w:p w14:paraId="24397E12" w14:textId="4EF7D9E6" w:rsidR="00F52624" w:rsidRPr="007D196D" w:rsidRDefault="00F3714E" w:rsidP="007D196D">
      <w:pPr>
        <w:pStyle w:val="Kop1"/>
        <w:rPr>
          <w:rFonts w:asciiTheme="minorHAnsi" w:hAnsiTheme="minorHAnsi"/>
          <w:color w:val="000000" w:themeColor="text1"/>
          <w:sz w:val="22"/>
          <w:szCs w:val="22"/>
          <w:u w:val="single"/>
        </w:rPr>
      </w:pPr>
      <w:bookmarkStart w:id="8" w:name="_Toc79489152"/>
      <w:r w:rsidRPr="007D196D">
        <w:rPr>
          <w:rFonts w:asciiTheme="minorHAnsi" w:hAnsiTheme="minorHAnsi"/>
          <w:color w:val="000000" w:themeColor="text1"/>
          <w:sz w:val="22"/>
          <w:szCs w:val="22"/>
          <w:u w:val="single"/>
        </w:rPr>
        <w:t xml:space="preserve">Model </w:t>
      </w:r>
      <w:r w:rsidR="003C0BCF">
        <w:rPr>
          <w:rFonts w:asciiTheme="minorHAnsi" w:hAnsiTheme="minorHAnsi"/>
          <w:color w:val="000000" w:themeColor="text1"/>
          <w:sz w:val="22"/>
          <w:szCs w:val="22"/>
          <w:u w:val="single"/>
        </w:rPr>
        <w:t>B</w:t>
      </w:r>
      <w:r w:rsidR="003C0BCF" w:rsidRPr="007D196D">
        <w:rPr>
          <w:rFonts w:asciiTheme="minorHAnsi" w:hAnsiTheme="minorHAnsi"/>
          <w:color w:val="000000" w:themeColor="text1"/>
          <w:sz w:val="22"/>
          <w:szCs w:val="22"/>
          <w:u w:val="single"/>
        </w:rPr>
        <w:t>estuursreglement</w:t>
      </w:r>
      <w:bookmarkEnd w:id="8"/>
      <w:r w:rsidR="003C0BCF" w:rsidRPr="007D196D">
        <w:rPr>
          <w:rFonts w:asciiTheme="minorHAnsi" w:hAnsiTheme="minorHAnsi"/>
          <w:color w:val="000000" w:themeColor="text1"/>
          <w:sz w:val="22"/>
          <w:szCs w:val="22"/>
          <w:u w:val="single"/>
        </w:rPr>
        <w:t xml:space="preserve"> </w:t>
      </w:r>
    </w:p>
    <w:p w14:paraId="1F82F527" w14:textId="6977058F" w:rsidR="00F52624" w:rsidRDefault="00D17D27">
      <w:r w:rsidRPr="00FA126C">
        <w:t xml:space="preserve">Aan </w:t>
      </w:r>
      <w:r>
        <w:rPr>
          <w:b/>
          <w:bCs/>
        </w:rPr>
        <w:t>artikel 7</w:t>
      </w:r>
      <w:r w:rsidR="00FA126C">
        <w:rPr>
          <w:b/>
          <w:bCs/>
        </w:rPr>
        <w:t xml:space="preserve"> </w:t>
      </w:r>
      <w:r w:rsidR="004F6816">
        <w:t>(</w:t>
      </w:r>
      <w:r w:rsidR="004F6816" w:rsidRPr="004F6816">
        <w:t>Toezicht- en toetsingskader en beleidsstukken</w:t>
      </w:r>
      <w:r w:rsidR="004F6816">
        <w:t xml:space="preserve">) </w:t>
      </w:r>
      <w:r w:rsidR="00A750DA">
        <w:t>is toegevoegd dat het toetsin</w:t>
      </w:r>
      <w:r w:rsidR="000863A2">
        <w:t>g</w:t>
      </w:r>
      <w:r w:rsidR="00A750DA">
        <w:t xml:space="preserve">skader </w:t>
      </w:r>
      <w:r w:rsidR="000863A2">
        <w:t xml:space="preserve">zich </w:t>
      </w:r>
      <w:r w:rsidR="00A750DA">
        <w:t>naast de reg</w:t>
      </w:r>
      <w:r w:rsidR="000863A2">
        <w:t>lementen ook richt op beleids</w:t>
      </w:r>
      <w:r w:rsidR="00936D31">
        <w:t>s</w:t>
      </w:r>
      <w:r w:rsidR="000863A2">
        <w:t xml:space="preserve">tukken </w:t>
      </w:r>
      <w:r w:rsidR="00936D31">
        <w:t xml:space="preserve">zoals daar </w:t>
      </w:r>
      <w:r w:rsidR="00474A29">
        <w:t xml:space="preserve">(kunnen) </w:t>
      </w:r>
      <w:r w:rsidR="00936D31">
        <w:t>zijn</w:t>
      </w:r>
      <w:r w:rsidR="00474A29">
        <w:t xml:space="preserve"> </w:t>
      </w:r>
      <w:r w:rsidR="00474A29" w:rsidRPr="00474A29">
        <w:t>de (</w:t>
      </w:r>
      <w:proofErr w:type="spellStart"/>
      <w:r w:rsidR="00474A29" w:rsidRPr="00474A29">
        <w:t>Meerjaren</w:t>
      </w:r>
      <w:proofErr w:type="spellEnd"/>
      <w:r w:rsidR="00474A29" w:rsidRPr="00474A29">
        <w:t>)</w:t>
      </w:r>
      <w:r w:rsidR="008B519D">
        <w:t xml:space="preserve"> </w:t>
      </w:r>
      <w:r w:rsidR="00474A29" w:rsidRPr="00474A29">
        <w:t>begroting, het Visie(document), het</w:t>
      </w:r>
      <w:r w:rsidR="00AC34F6">
        <w:t xml:space="preserve"> </w:t>
      </w:r>
      <w:r w:rsidR="00474A29" w:rsidRPr="00474A29">
        <w:t xml:space="preserve">Strategisch voorraadbeleid, het </w:t>
      </w:r>
      <w:proofErr w:type="spellStart"/>
      <w:r w:rsidR="00474A29" w:rsidRPr="00474A29">
        <w:t>Belanghoudersoverzicht</w:t>
      </w:r>
      <w:proofErr w:type="spellEnd"/>
      <w:r w:rsidR="00474A29" w:rsidRPr="00474A29">
        <w:t>, het (</w:t>
      </w:r>
      <w:proofErr w:type="spellStart"/>
      <w:r w:rsidR="00474A29" w:rsidRPr="00474A29">
        <w:t>Meerjaren</w:t>
      </w:r>
      <w:proofErr w:type="spellEnd"/>
      <w:r w:rsidR="00474A29" w:rsidRPr="00474A29">
        <w:t xml:space="preserve">)investeringsplan, het DAEB en niet-DAEB investeringsbeleid, de Prestatieafspraken, het </w:t>
      </w:r>
      <w:r w:rsidR="00474A29" w:rsidRPr="00474A29">
        <w:lastRenderedPageBreak/>
        <w:t xml:space="preserve">Risicobeheersingssysteem, de Integriteitscode en de Klokkenluidersregeling, die voortaan aangeduid wordt als </w:t>
      </w:r>
      <w:r w:rsidR="008B519D">
        <w:t>M</w:t>
      </w:r>
      <w:r w:rsidR="00474A29" w:rsidRPr="00474A29">
        <w:t>eldregeling voor misstanden.</w:t>
      </w:r>
      <w:r w:rsidR="00474A29" w:rsidRPr="00474A29">
        <w:tab/>
      </w:r>
      <w:r w:rsidR="00936D31">
        <w:t xml:space="preserve"> </w:t>
      </w:r>
      <w:r w:rsidR="00A750DA">
        <w:t xml:space="preserve"> </w:t>
      </w:r>
    </w:p>
    <w:p w14:paraId="55C3D28B" w14:textId="161D2C7F" w:rsidR="008B519D" w:rsidRDefault="008B519D">
      <w:r>
        <w:t xml:space="preserve">In </w:t>
      </w:r>
      <w:r w:rsidRPr="00AB1AF3">
        <w:rPr>
          <w:b/>
          <w:bCs/>
        </w:rPr>
        <w:t>artikel 15</w:t>
      </w:r>
      <w:r>
        <w:t xml:space="preserve"> </w:t>
      </w:r>
      <w:r w:rsidR="00DB664F">
        <w:t xml:space="preserve">lid 3 is de expliciete verplichting om het visitatierapport aan de Minister toe te zenden </w:t>
      </w:r>
      <w:r w:rsidR="004864E6">
        <w:t>geschrapt; wel blijft de verplichting staan om he</w:t>
      </w:r>
      <w:r w:rsidR="008860D7">
        <w:t>t rapport en de reactie van de RvC daaro</w:t>
      </w:r>
      <w:r w:rsidR="00A109E2">
        <w:t>p</w:t>
      </w:r>
      <w:r w:rsidR="008860D7">
        <w:t xml:space="preserve"> aan alle belanghebbenden en zij die in het kader van het on</w:t>
      </w:r>
      <w:r w:rsidR="004864E6">
        <w:t>d</w:t>
      </w:r>
      <w:r w:rsidR="008860D7">
        <w:t>erzoek hun zienswijze hebben</w:t>
      </w:r>
      <w:r w:rsidR="004864E6">
        <w:t xml:space="preserve"> gegeven toe te zenden</w:t>
      </w:r>
      <w:r w:rsidR="006142C8">
        <w:t xml:space="preserve">. Toegevoegd is dat het rapport langs elektronische weg algemeen verkrijgbaar moet worden gesteld. </w:t>
      </w:r>
      <w:r w:rsidR="008860D7">
        <w:t xml:space="preserve"> </w:t>
      </w:r>
    </w:p>
    <w:p w14:paraId="19C6D894" w14:textId="0F920BF6" w:rsidR="00F52624" w:rsidRDefault="00796A1A">
      <w:r>
        <w:t xml:space="preserve">In </w:t>
      </w:r>
      <w:r w:rsidRPr="00AB1AF3">
        <w:rPr>
          <w:b/>
          <w:bCs/>
        </w:rPr>
        <w:t>artikel 17</w:t>
      </w:r>
      <w:r>
        <w:t xml:space="preserve"> is </w:t>
      </w:r>
      <w:r w:rsidR="00AB1AF3">
        <w:t xml:space="preserve">zoals </w:t>
      </w:r>
      <w:r w:rsidR="00C90FCA">
        <w:t xml:space="preserve">eerder </w:t>
      </w:r>
      <w:r w:rsidR="00AB1AF3">
        <w:t xml:space="preserve">aangegeven het begrip Klokkenluidersregeling gewijzigd in Meldregeling voor misstanden. </w:t>
      </w:r>
      <w:r w:rsidR="00D26504">
        <w:t xml:space="preserve">Ook inhoudelijk </w:t>
      </w:r>
      <w:r w:rsidR="00E34C34">
        <w:t xml:space="preserve">zullen er de komende tijd </w:t>
      </w:r>
      <w:r w:rsidR="00CF5259">
        <w:t xml:space="preserve">mogelijk </w:t>
      </w:r>
      <w:r w:rsidR="00C252E6">
        <w:t xml:space="preserve">nog </w:t>
      </w:r>
      <w:r w:rsidR="00E34C34">
        <w:t>wijzigingen komen. Op 21 mei 2021 heeft de Ministerraad ingestemd met e</w:t>
      </w:r>
      <w:r w:rsidR="00E34C34" w:rsidRPr="00E34C34">
        <w:t>e</w:t>
      </w:r>
      <w:r w:rsidR="00E34C34">
        <w:t>n</w:t>
      </w:r>
      <w:r w:rsidR="00E34C34" w:rsidRPr="00E34C34">
        <w:t xml:space="preserve"> wetsvoorstel </w:t>
      </w:r>
      <w:r w:rsidR="00E34C34">
        <w:t>op gr</w:t>
      </w:r>
      <w:r w:rsidR="00A87C5A">
        <w:t>o</w:t>
      </w:r>
      <w:r w:rsidR="00E34C34">
        <w:t xml:space="preserve">nd waarvan </w:t>
      </w:r>
      <w:r w:rsidR="00E34C34" w:rsidRPr="00E34C34">
        <w:t>de huidige Wet Huis voor klokkenluiders</w:t>
      </w:r>
      <w:r w:rsidR="00A87C5A">
        <w:t xml:space="preserve"> za</w:t>
      </w:r>
      <w:r w:rsidR="00C90FCA">
        <w:t>l</w:t>
      </w:r>
      <w:r w:rsidR="00A87C5A">
        <w:t xml:space="preserve"> worden aangepast </w:t>
      </w:r>
      <w:r w:rsidR="00C90FCA">
        <w:t xml:space="preserve">aan de Europese richtlijn </w:t>
      </w:r>
      <w:r w:rsidR="00A87C5A">
        <w:t xml:space="preserve">en </w:t>
      </w:r>
      <w:r w:rsidR="00E34C34" w:rsidRPr="00E34C34">
        <w:t xml:space="preserve">de Wet bescherming klokkenluiders </w:t>
      </w:r>
      <w:r w:rsidR="00A87C5A">
        <w:t xml:space="preserve">zal </w:t>
      </w:r>
      <w:r w:rsidR="00E34C34" w:rsidRPr="00E34C34">
        <w:t>gaat heten. Het wetsvoorstel breidt de bescherming uit van klokkenluiders die een vermoeden van een misstand melden. Daarnaast krijgen melders van een inbreuk op diverse terreinen van het recht van de Europese Unie bescherming.</w:t>
      </w:r>
    </w:p>
    <w:p w14:paraId="6832F33D" w14:textId="6193546F" w:rsidR="00A87C5A" w:rsidRDefault="00A87C5A">
      <w:pPr>
        <w:rPr>
          <w:b/>
          <w:bCs/>
        </w:rPr>
      </w:pPr>
    </w:p>
    <w:p w14:paraId="6C1B2015" w14:textId="2701969D" w:rsidR="00B30A74" w:rsidRPr="007D196D" w:rsidRDefault="00B30A74" w:rsidP="007D196D">
      <w:pPr>
        <w:pStyle w:val="Kop1"/>
        <w:rPr>
          <w:rFonts w:asciiTheme="minorHAnsi" w:hAnsiTheme="minorHAnsi"/>
          <w:color w:val="000000" w:themeColor="text1"/>
          <w:sz w:val="22"/>
          <w:szCs w:val="22"/>
          <w:u w:val="single"/>
        </w:rPr>
      </w:pPr>
      <w:bookmarkStart w:id="9" w:name="_Toc79489153"/>
      <w:r w:rsidRPr="007D196D">
        <w:rPr>
          <w:rFonts w:asciiTheme="minorHAnsi" w:hAnsiTheme="minorHAnsi"/>
          <w:color w:val="000000" w:themeColor="text1"/>
          <w:sz w:val="22"/>
          <w:szCs w:val="22"/>
          <w:u w:val="single"/>
        </w:rPr>
        <w:t>Modelreglement voor de Auditcommissie</w:t>
      </w:r>
      <w:bookmarkEnd w:id="9"/>
    </w:p>
    <w:p w14:paraId="02FBCED8" w14:textId="6F5A23CA" w:rsidR="00B30A74" w:rsidRDefault="00B30A74">
      <w:r>
        <w:t>Anders dan de verwijzingen naar wetsartikelen is dit reglement inhoudelijk niet aangepast.</w:t>
      </w:r>
    </w:p>
    <w:p w14:paraId="701BFC5C" w14:textId="7CAD388C" w:rsidR="00B30A74" w:rsidRDefault="00B30A74"/>
    <w:p w14:paraId="1C5F5F0D" w14:textId="06B31162" w:rsidR="00B30A74" w:rsidRPr="007D196D" w:rsidRDefault="00B30A74" w:rsidP="007D196D">
      <w:pPr>
        <w:pStyle w:val="Kop1"/>
        <w:rPr>
          <w:rFonts w:asciiTheme="minorHAnsi" w:hAnsiTheme="minorHAnsi"/>
          <w:color w:val="000000" w:themeColor="text1"/>
          <w:sz w:val="22"/>
          <w:szCs w:val="22"/>
          <w:u w:val="single"/>
        </w:rPr>
      </w:pPr>
      <w:bookmarkStart w:id="10" w:name="_Toc79489154"/>
      <w:r w:rsidRPr="007D196D">
        <w:rPr>
          <w:rFonts w:asciiTheme="minorHAnsi" w:hAnsiTheme="minorHAnsi"/>
          <w:color w:val="000000" w:themeColor="text1"/>
          <w:sz w:val="22"/>
          <w:szCs w:val="22"/>
          <w:u w:val="single"/>
        </w:rPr>
        <w:t xml:space="preserve">Modelreglement voor de </w:t>
      </w:r>
      <w:r w:rsidR="00AE5AD1">
        <w:rPr>
          <w:rFonts w:asciiTheme="minorHAnsi" w:hAnsiTheme="minorHAnsi"/>
          <w:color w:val="000000" w:themeColor="text1"/>
          <w:sz w:val="22"/>
          <w:szCs w:val="22"/>
          <w:u w:val="single"/>
        </w:rPr>
        <w:t>S</w:t>
      </w:r>
      <w:r w:rsidR="00AE5AD1" w:rsidRPr="007D196D">
        <w:rPr>
          <w:rFonts w:asciiTheme="minorHAnsi" w:hAnsiTheme="minorHAnsi"/>
          <w:color w:val="000000" w:themeColor="text1"/>
          <w:sz w:val="22"/>
          <w:szCs w:val="22"/>
          <w:u w:val="single"/>
        </w:rPr>
        <w:t>electie</w:t>
      </w:r>
      <w:r w:rsidRPr="007D196D">
        <w:rPr>
          <w:rFonts w:asciiTheme="minorHAnsi" w:hAnsiTheme="minorHAnsi"/>
          <w:color w:val="000000" w:themeColor="text1"/>
          <w:sz w:val="22"/>
          <w:szCs w:val="22"/>
          <w:u w:val="single"/>
        </w:rPr>
        <w:t xml:space="preserve">- en </w:t>
      </w:r>
      <w:bookmarkEnd w:id="10"/>
      <w:r w:rsidR="00A358B1" w:rsidRPr="007D196D">
        <w:rPr>
          <w:rFonts w:asciiTheme="minorHAnsi" w:hAnsiTheme="minorHAnsi"/>
          <w:color w:val="000000" w:themeColor="text1"/>
          <w:sz w:val="22"/>
          <w:szCs w:val="22"/>
          <w:u w:val="single"/>
        </w:rPr>
        <w:t>re</w:t>
      </w:r>
      <w:r w:rsidR="00A358B1">
        <w:rPr>
          <w:rFonts w:asciiTheme="minorHAnsi" w:hAnsiTheme="minorHAnsi"/>
          <w:color w:val="000000" w:themeColor="text1"/>
          <w:sz w:val="22"/>
          <w:szCs w:val="22"/>
          <w:u w:val="single"/>
        </w:rPr>
        <w:t>mu</w:t>
      </w:r>
      <w:r w:rsidR="00FD31F6">
        <w:rPr>
          <w:rFonts w:asciiTheme="minorHAnsi" w:hAnsiTheme="minorHAnsi"/>
          <w:color w:val="000000" w:themeColor="text1"/>
          <w:sz w:val="22"/>
          <w:szCs w:val="22"/>
          <w:u w:val="single"/>
        </w:rPr>
        <w:t>n</w:t>
      </w:r>
      <w:r w:rsidR="00A358B1" w:rsidRPr="007D196D">
        <w:rPr>
          <w:rFonts w:asciiTheme="minorHAnsi" w:hAnsiTheme="minorHAnsi"/>
          <w:color w:val="000000" w:themeColor="text1"/>
          <w:sz w:val="22"/>
          <w:szCs w:val="22"/>
          <w:u w:val="single"/>
        </w:rPr>
        <w:t>eratiecommissie</w:t>
      </w:r>
    </w:p>
    <w:p w14:paraId="49BC0D40" w14:textId="7AF1CB87" w:rsidR="00B30A74" w:rsidRDefault="00B30A74">
      <w:r w:rsidRPr="00B30A74">
        <w:t xml:space="preserve">In </w:t>
      </w:r>
      <w:r>
        <w:rPr>
          <w:b/>
          <w:bCs/>
        </w:rPr>
        <w:t xml:space="preserve">artikel 1 </w:t>
      </w:r>
      <w:r w:rsidRPr="00B30A74">
        <w:t>zijn de begripsomschrijvingen toegevoegd</w:t>
      </w:r>
      <w:r>
        <w:t>.</w:t>
      </w:r>
    </w:p>
    <w:p w14:paraId="2919E438" w14:textId="211590A8" w:rsidR="00B30A74" w:rsidRDefault="00B30A74">
      <w:r>
        <w:t xml:space="preserve">In </w:t>
      </w:r>
      <w:r>
        <w:rPr>
          <w:b/>
          <w:bCs/>
        </w:rPr>
        <w:t>artikel 4</w:t>
      </w:r>
      <w:r>
        <w:t xml:space="preserve"> is toegevoegd dat de commissie jaarlijks een functionerings- en beoordelingsgesprek voert met het bestuur.</w:t>
      </w:r>
    </w:p>
    <w:p w14:paraId="535B44E3" w14:textId="33AACD0B" w:rsidR="00B30A74" w:rsidRPr="00B30A74" w:rsidRDefault="00B30A74">
      <w:pPr>
        <w:rPr>
          <w:i/>
          <w:iCs/>
        </w:rPr>
      </w:pPr>
      <w:r>
        <w:t xml:space="preserve">Toegevoegd is </w:t>
      </w:r>
      <w:r w:rsidRPr="00B30A74">
        <w:rPr>
          <w:b/>
          <w:bCs/>
        </w:rPr>
        <w:t>artikel 8</w:t>
      </w:r>
      <w:r>
        <w:rPr>
          <w:b/>
          <w:bCs/>
        </w:rPr>
        <w:t xml:space="preserve"> </w:t>
      </w:r>
      <w:r>
        <w:t>met daarin de slotbepalingen en de wijzigingsbevoegdheid van de RvC.</w:t>
      </w:r>
    </w:p>
    <w:p w14:paraId="36D36679" w14:textId="77777777" w:rsidR="00B30A74" w:rsidRDefault="00B30A74">
      <w:pPr>
        <w:rPr>
          <w:b/>
          <w:bCs/>
        </w:rPr>
      </w:pPr>
    </w:p>
    <w:p w14:paraId="55F63A3F" w14:textId="09522471" w:rsidR="00F52624" w:rsidRPr="007D196D" w:rsidRDefault="00AD4C8C" w:rsidP="007D196D">
      <w:pPr>
        <w:pStyle w:val="Kop1"/>
        <w:rPr>
          <w:rFonts w:asciiTheme="minorHAnsi" w:hAnsiTheme="minorHAnsi"/>
          <w:color w:val="000000" w:themeColor="text1"/>
          <w:sz w:val="22"/>
          <w:szCs w:val="22"/>
          <w:u w:val="single"/>
        </w:rPr>
      </w:pPr>
      <w:bookmarkStart w:id="11" w:name="_Toc79489155"/>
      <w:r w:rsidRPr="007D196D">
        <w:rPr>
          <w:rFonts w:asciiTheme="minorHAnsi" w:hAnsiTheme="minorHAnsi"/>
          <w:color w:val="000000" w:themeColor="text1"/>
          <w:sz w:val="22"/>
          <w:szCs w:val="22"/>
          <w:u w:val="single"/>
        </w:rPr>
        <w:t xml:space="preserve">Modelreglement voor de commissie </w:t>
      </w:r>
      <w:r w:rsidR="00AE5AD1">
        <w:rPr>
          <w:rFonts w:asciiTheme="minorHAnsi" w:hAnsiTheme="minorHAnsi"/>
          <w:color w:val="000000" w:themeColor="text1"/>
          <w:sz w:val="22"/>
          <w:szCs w:val="22"/>
          <w:u w:val="single"/>
        </w:rPr>
        <w:t>M</w:t>
      </w:r>
      <w:r w:rsidR="00AE5AD1" w:rsidRPr="007D196D">
        <w:rPr>
          <w:rFonts w:asciiTheme="minorHAnsi" w:hAnsiTheme="minorHAnsi"/>
          <w:color w:val="000000" w:themeColor="text1"/>
          <w:sz w:val="22"/>
          <w:szCs w:val="22"/>
          <w:u w:val="single"/>
        </w:rPr>
        <w:t>aatschappij</w:t>
      </w:r>
      <w:bookmarkEnd w:id="11"/>
    </w:p>
    <w:p w14:paraId="3AA75A22" w14:textId="2D152905" w:rsidR="0092160C" w:rsidRDefault="00AD4C8C" w:rsidP="00B30A74">
      <w:r>
        <w:t xml:space="preserve">Tot slot is </w:t>
      </w:r>
      <w:r w:rsidR="0092160C">
        <w:t xml:space="preserve">een </w:t>
      </w:r>
      <w:r>
        <w:t>g</w:t>
      </w:r>
      <w:r w:rsidR="00CB464C">
        <w:t>eheel nieuw</w:t>
      </w:r>
      <w:r w:rsidR="0092160C">
        <w:t xml:space="preserve"> modelreglement aan de modellen toegevoegd, te weten het </w:t>
      </w:r>
      <w:r w:rsidR="00CB464C">
        <w:t>modelreglement voor de commissie maatschappij. In de praktijk werkt een aantal corporaties al met een dergelijke commissie samengesteld uit de RvC</w:t>
      </w:r>
      <w:r>
        <w:t>,</w:t>
      </w:r>
      <w:r w:rsidR="00CB464C">
        <w:t xml:space="preserve"> zodat het aanreiken van een modelreglement kennelijk in een behoefte zal voorzien</w:t>
      </w:r>
      <w:r>
        <w:t xml:space="preserve"> van de corporaties die voornemens zijn een dergelijke commissie in te stellen</w:t>
      </w:r>
      <w:r w:rsidR="00CB464C">
        <w:t>.</w:t>
      </w:r>
      <w:r w:rsidR="00B30A74">
        <w:t xml:space="preserve"> De focus van deze commissie ligt op het verste</w:t>
      </w:r>
      <w:r w:rsidR="00F60E6D">
        <w:t>r</w:t>
      </w:r>
      <w:r w:rsidR="00B30A74">
        <w:t>ken van de verbinding van de corporatie met de maatschappij en toegankelijkheid</w:t>
      </w:r>
      <w:r w:rsidR="0092160C">
        <w:t xml:space="preserve"> waarmee het draagvlak en de legitimiteit van de corporatie in de maatschappij wordt vergroot</w:t>
      </w:r>
      <w:r w:rsidR="00B30A74">
        <w:t>. Dit vereist een actieve opstelling van de RvC. Het spreekt voor zich dat de commissie zich bij de beoordeling en bespreking van het jaarverslag en de concept jaarplannen zich zal richten op de onderbouwing van de maatschappelijke opgave</w:t>
      </w:r>
      <w:r w:rsidR="0092160C">
        <w:t>,</w:t>
      </w:r>
      <w:r w:rsidR="00B30A74">
        <w:t xml:space="preserve"> die daarin is opgenomen. Zeker met </w:t>
      </w:r>
      <w:r w:rsidR="0092160C">
        <w:t xml:space="preserve">het met “investeren in </w:t>
      </w:r>
      <w:r w:rsidR="00B30A74">
        <w:t>leefbaarheid</w:t>
      </w:r>
      <w:r w:rsidR="0092160C">
        <w:t>”</w:t>
      </w:r>
      <w:r w:rsidR="00B30A74">
        <w:t xml:space="preserve"> uitgebreide </w:t>
      </w:r>
      <w:r w:rsidR="0092160C">
        <w:t>Volkshuisvestelijke Prioriteiten (2021-2025) lijkt deze commissie een nuttige functie te kunnen gaan vervullen binnen de corporatie.</w:t>
      </w:r>
    </w:p>
    <w:p w14:paraId="4FE89A4F" w14:textId="4A00ECDF" w:rsidR="00A109E2" w:rsidRDefault="00A109E2" w:rsidP="00B30A74"/>
    <w:sectPr w:rsidR="00A109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180FF" w14:textId="77777777" w:rsidR="001B689B" w:rsidRDefault="001B689B" w:rsidP="002B3E82">
      <w:pPr>
        <w:spacing w:after="0" w:line="240" w:lineRule="auto"/>
      </w:pPr>
      <w:r>
        <w:separator/>
      </w:r>
    </w:p>
  </w:endnote>
  <w:endnote w:type="continuationSeparator" w:id="0">
    <w:p w14:paraId="1803AC27" w14:textId="77777777" w:rsidR="001B689B" w:rsidRDefault="001B689B" w:rsidP="002B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911241"/>
      <w:docPartObj>
        <w:docPartGallery w:val="Page Numbers (Bottom of Page)"/>
        <w:docPartUnique/>
      </w:docPartObj>
    </w:sdtPr>
    <w:sdtEndPr/>
    <w:sdtContent>
      <w:p w14:paraId="665F2583" w14:textId="07A04B0B" w:rsidR="00074214" w:rsidRDefault="00074214">
        <w:pPr>
          <w:pStyle w:val="Voettekst"/>
          <w:jc w:val="right"/>
        </w:pPr>
        <w:r>
          <w:fldChar w:fldCharType="begin"/>
        </w:r>
        <w:r>
          <w:instrText>PAGE   \* MERGEFORMAT</w:instrText>
        </w:r>
        <w:r>
          <w:fldChar w:fldCharType="separate"/>
        </w:r>
        <w:r>
          <w:t>2</w:t>
        </w:r>
        <w:r>
          <w:fldChar w:fldCharType="end"/>
        </w:r>
      </w:p>
    </w:sdtContent>
  </w:sdt>
  <w:p w14:paraId="6F2D421A" w14:textId="77777777" w:rsidR="00074214" w:rsidRDefault="000742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F486" w14:textId="77777777" w:rsidR="001B689B" w:rsidRDefault="001B689B" w:rsidP="002B3E82">
      <w:pPr>
        <w:spacing w:after="0" w:line="240" w:lineRule="auto"/>
      </w:pPr>
      <w:r>
        <w:separator/>
      </w:r>
    </w:p>
  </w:footnote>
  <w:footnote w:type="continuationSeparator" w:id="0">
    <w:p w14:paraId="036033B1" w14:textId="77777777" w:rsidR="001B689B" w:rsidRDefault="001B689B" w:rsidP="002B3E82">
      <w:pPr>
        <w:spacing w:after="0" w:line="240" w:lineRule="auto"/>
      </w:pPr>
      <w:r>
        <w:continuationSeparator/>
      </w:r>
    </w:p>
  </w:footnote>
  <w:footnote w:id="1">
    <w:p w14:paraId="4FB44173" w14:textId="68EE1029" w:rsidR="006C4912" w:rsidRDefault="006C4912">
      <w:pPr>
        <w:pStyle w:val="Voetnoottekst"/>
      </w:pPr>
      <w:r>
        <w:rPr>
          <w:rStyle w:val="Voetnootmarkering"/>
        </w:rPr>
        <w:footnoteRef/>
      </w:r>
      <w:r>
        <w:t xml:space="preserve"> </w:t>
      </w:r>
      <w:r w:rsidRPr="006C4912">
        <w:t>https://www.vtw.nl/publicaties/handreiking/arbeidsovereenkomst-statutair-bestuurder/</w:t>
      </w:r>
    </w:p>
  </w:footnote>
  <w:footnote w:id="2">
    <w:p w14:paraId="01F7CAF7" w14:textId="07C1F26E" w:rsidR="000D1A11" w:rsidRDefault="000D1A11">
      <w:pPr>
        <w:pStyle w:val="Voetnoottekst"/>
      </w:pPr>
      <w:r>
        <w:rPr>
          <w:rStyle w:val="Voetnootmarkering"/>
        </w:rPr>
        <w:footnoteRef/>
      </w:r>
      <w:r>
        <w:t xml:space="preserve"> </w:t>
      </w:r>
      <w:r w:rsidRPr="000D1A11">
        <w:t>https://www.internetconsultatie.nl/evaluatie_woningwet/document/5178</w:t>
      </w:r>
    </w:p>
  </w:footnote>
  <w:footnote w:id="3">
    <w:p w14:paraId="1CD6C40E" w14:textId="6507A0F8" w:rsidR="000D1A11" w:rsidRDefault="000D1A11">
      <w:pPr>
        <w:pStyle w:val="Voetnoottekst"/>
      </w:pPr>
      <w:r>
        <w:rPr>
          <w:rStyle w:val="Voetnootmarkering"/>
        </w:rPr>
        <w:footnoteRef/>
      </w:r>
      <w:r>
        <w:t xml:space="preserve"> </w:t>
      </w:r>
      <w:r w:rsidRPr="000D1A11">
        <w:t>https://www.ilent.nl/documenten/publicaties/2021/06/01/aw-beleidsregels-ter-open-consultatie</w:t>
      </w:r>
    </w:p>
  </w:footnote>
  <w:footnote w:id="4">
    <w:p w14:paraId="4D357F25" w14:textId="55A6370B" w:rsidR="00A60D21" w:rsidRDefault="00A60D21">
      <w:pPr>
        <w:pStyle w:val="Voetnoottekst"/>
      </w:pPr>
      <w:r>
        <w:rPr>
          <w:rStyle w:val="Voetnootmarkering"/>
        </w:rPr>
        <w:footnoteRef/>
      </w:r>
      <w:r>
        <w:t xml:space="preserve"> </w:t>
      </w:r>
      <w:r w:rsidR="00EF02D2">
        <w:t xml:space="preserve">Meer informatie: </w:t>
      </w:r>
      <w:r w:rsidRPr="00A60D21">
        <w:t>https://www.topinkomens.nl/</w:t>
      </w:r>
    </w:p>
  </w:footnote>
  <w:footnote w:id="5">
    <w:p w14:paraId="30CCBEED" w14:textId="3C0CA875" w:rsidR="00BB6696" w:rsidRDefault="00BB6696">
      <w:pPr>
        <w:pStyle w:val="Voetnoottekst"/>
      </w:pPr>
      <w:r>
        <w:rPr>
          <w:rStyle w:val="Voetnootmarkering"/>
        </w:rPr>
        <w:footnoteRef/>
      </w:r>
      <w:r>
        <w:t xml:space="preserve"> </w:t>
      </w:r>
      <w:r w:rsidRPr="00BB6696">
        <w:t>https://www.vtw.nl/honorering</w:t>
      </w:r>
    </w:p>
  </w:footnote>
  <w:footnote w:id="6">
    <w:p w14:paraId="1949B9EF" w14:textId="4D741CB4" w:rsidR="00E37D2E" w:rsidRDefault="00E37D2E">
      <w:pPr>
        <w:pStyle w:val="Voetnoottekst"/>
      </w:pPr>
      <w:r>
        <w:rPr>
          <w:rStyle w:val="Voetnootmarkering"/>
        </w:rPr>
        <w:footnoteRef/>
      </w:r>
      <w:r>
        <w:t xml:space="preserve"> </w:t>
      </w:r>
      <w:r w:rsidRPr="00E37D2E">
        <w:t>https://www.ser.nl/nl/Publicaties/diversiteit-in-de-top</w:t>
      </w:r>
    </w:p>
  </w:footnote>
  <w:footnote w:id="7">
    <w:p w14:paraId="7666192E" w14:textId="1EE2FAB7" w:rsidR="005529D4" w:rsidRDefault="005529D4">
      <w:pPr>
        <w:pStyle w:val="Voetnoottekst"/>
      </w:pPr>
      <w:r>
        <w:rPr>
          <w:rStyle w:val="Voetnootmarkering"/>
        </w:rPr>
        <w:footnoteRef/>
      </w:r>
      <w:r>
        <w:t xml:space="preserve"> </w:t>
      </w:r>
      <w:r w:rsidR="00A36832" w:rsidRPr="00A36832">
        <w:t>https://zoek.officielebekendmakingen.nl/kst-35628-5.html</w:t>
      </w:r>
    </w:p>
  </w:footnote>
  <w:footnote w:id="8">
    <w:p w14:paraId="4ED74D30" w14:textId="3E0FC212" w:rsidR="008D25DE" w:rsidRDefault="008D25DE">
      <w:pPr>
        <w:pStyle w:val="Voetnoottekst"/>
      </w:pPr>
      <w:r>
        <w:rPr>
          <w:rStyle w:val="Voetnootmarkering"/>
        </w:rPr>
        <w:footnoteRef/>
      </w:r>
      <w:r>
        <w:t xml:space="preserve"> </w:t>
      </w:r>
      <w:r w:rsidR="006F3476" w:rsidRPr="006F3476">
        <w:t>https://www.vtw.nl/nieuwsbrief/191/artikel/1605</w:t>
      </w:r>
    </w:p>
  </w:footnote>
  <w:footnote w:id="9">
    <w:p w14:paraId="4293A976" w14:textId="2FF7F34A" w:rsidR="002B3E82" w:rsidRDefault="002B3E82">
      <w:pPr>
        <w:pStyle w:val="Voetnoottekst"/>
      </w:pPr>
      <w:r>
        <w:rPr>
          <w:rStyle w:val="Voetnootmarkering"/>
        </w:rPr>
        <w:footnoteRef/>
      </w:r>
      <w:r>
        <w:t xml:space="preserve"> </w:t>
      </w:r>
      <w:r w:rsidR="00607567">
        <w:t xml:space="preserve">Meer informatie: </w:t>
      </w:r>
      <w:r w:rsidRPr="002B3E82">
        <w:t>https://www.vtw.nl/nieuws/beperking-aantal-commissariaten</w:t>
      </w:r>
    </w:p>
  </w:footnote>
  <w:footnote w:id="10">
    <w:p w14:paraId="706FBB74" w14:textId="1890822F" w:rsidR="002B3E82" w:rsidRDefault="002B3E82">
      <w:pPr>
        <w:pStyle w:val="Voetnoottekst"/>
      </w:pPr>
      <w:r>
        <w:rPr>
          <w:rStyle w:val="Voetnootmarkering"/>
        </w:rPr>
        <w:footnoteRef/>
      </w:r>
      <w:r>
        <w:t xml:space="preserve"> </w:t>
      </w:r>
      <w:r w:rsidRPr="002B3E82">
        <w:t>https://zoek.officielebekendmakingen.nl/kst-32769-7.html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22"/>
    <w:rsid w:val="000267A3"/>
    <w:rsid w:val="000417E0"/>
    <w:rsid w:val="000605F1"/>
    <w:rsid w:val="00074214"/>
    <w:rsid w:val="000863A2"/>
    <w:rsid w:val="000B3FC4"/>
    <w:rsid w:val="000D1A11"/>
    <w:rsid w:val="000E2FB3"/>
    <w:rsid w:val="000E3545"/>
    <w:rsid w:val="000F2467"/>
    <w:rsid w:val="000F5E80"/>
    <w:rsid w:val="00104467"/>
    <w:rsid w:val="00110114"/>
    <w:rsid w:val="00121114"/>
    <w:rsid w:val="00126ABD"/>
    <w:rsid w:val="00131B65"/>
    <w:rsid w:val="00176CF6"/>
    <w:rsid w:val="00177E18"/>
    <w:rsid w:val="00181F20"/>
    <w:rsid w:val="001830BF"/>
    <w:rsid w:val="00184F7C"/>
    <w:rsid w:val="001B026B"/>
    <w:rsid w:val="001B327C"/>
    <w:rsid w:val="001B431B"/>
    <w:rsid w:val="001B689B"/>
    <w:rsid w:val="001C1958"/>
    <w:rsid w:val="001C308F"/>
    <w:rsid w:val="001D59B2"/>
    <w:rsid w:val="001E1490"/>
    <w:rsid w:val="00200645"/>
    <w:rsid w:val="0020248C"/>
    <w:rsid w:val="00206D00"/>
    <w:rsid w:val="00207EA0"/>
    <w:rsid w:val="0022221F"/>
    <w:rsid w:val="00224F71"/>
    <w:rsid w:val="00241119"/>
    <w:rsid w:val="002537D5"/>
    <w:rsid w:val="00261F31"/>
    <w:rsid w:val="0026474F"/>
    <w:rsid w:val="00273271"/>
    <w:rsid w:val="0027797D"/>
    <w:rsid w:val="0028029D"/>
    <w:rsid w:val="00284F3B"/>
    <w:rsid w:val="002855F3"/>
    <w:rsid w:val="0028750A"/>
    <w:rsid w:val="00294041"/>
    <w:rsid w:val="00295268"/>
    <w:rsid w:val="002B32CE"/>
    <w:rsid w:val="002B3E82"/>
    <w:rsid w:val="002C049C"/>
    <w:rsid w:val="002C3BD1"/>
    <w:rsid w:val="002E6DD6"/>
    <w:rsid w:val="002F2345"/>
    <w:rsid w:val="002F7582"/>
    <w:rsid w:val="0030001E"/>
    <w:rsid w:val="00313008"/>
    <w:rsid w:val="00320293"/>
    <w:rsid w:val="003212B3"/>
    <w:rsid w:val="00337D9A"/>
    <w:rsid w:val="00346D87"/>
    <w:rsid w:val="003552A2"/>
    <w:rsid w:val="003602A3"/>
    <w:rsid w:val="00376719"/>
    <w:rsid w:val="00376A86"/>
    <w:rsid w:val="00386DA1"/>
    <w:rsid w:val="0039294E"/>
    <w:rsid w:val="003A791E"/>
    <w:rsid w:val="003C0BCF"/>
    <w:rsid w:val="003C42D8"/>
    <w:rsid w:val="003D49E1"/>
    <w:rsid w:val="003F5820"/>
    <w:rsid w:val="003F6CF3"/>
    <w:rsid w:val="004306D1"/>
    <w:rsid w:val="0043743A"/>
    <w:rsid w:val="0044305C"/>
    <w:rsid w:val="00444396"/>
    <w:rsid w:val="004529FD"/>
    <w:rsid w:val="00465FC4"/>
    <w:rsid w:val="00474527"/>
    <w:rsid w:val="00474A29"/>
    <w:rsid w:val="004762C6"/>
    <w:rsid w:val="0048106C"/>
    <w:rsid w:val="004837F1"/>
    <w:rsid w:val="004864E6"/>
    <w:rsid w:val="00487929"/>
    <w:rsid w:val="00494020"/>
    <w:rsid w:val="0049791D"/>
    <w:rsid w:val="004A70E5"/>
    <w:rsid w:val="004B7718"/>
    <w:rsid w:val="004C0F81"/>
    <w:rsid w:val="004C6448"/>
    <w:rsid w:val="004C7B16"/>
    <w:rsid w:val="004D0D50"/>
    <w:rsid w:val="004D7417"/>
    <w:rsid w:val="004E41BD"/>
    <w:rsid w:val="004F02F0"/>
    <w:rsid w:val="004F5D5A"/>
    <w:rsid w:val="004F6816"/>
    <w:rsid w:val="00500EB8"/>
    <w:rsid w:val="00515809"/>
    <w:rsid w:val="0051704A"/>
    <w:rsid w:val="00517638"/>
    <w:rsid w:val="005276F4"/>
    <w:rsid w:val="00534AC3"/>
    <w:rsid w:val="005529D4"/>
    <w:rsid w:val="00555DA6"/>
    <w:rsid w:val="005628B1"/>
    <w:rsid w:val="00564599"/>
    <w:rsid w:val="005728DE"/>
    <w:rsid w:val="0058096F"/>
    <w:rsid w:val="00585FE6"/>
    <w:rsid w:val="00586A3B"/>
    <w:rsid w:val="005B1CF1"/>
    <w:rsid w:val="005B53EC"/>
    <w:rsid w:val="005D070F"/>
    <w:rsid w:val="005D5378"/>
    <w:rsid w:val="005E6765"/>
    <w:rsid w:val="005E7621"/>
    <w:rsid w:val="005F0F4F"/>
    <w:rsid w:val="005F5B8A"/>
    <w:rsid w:val="005F5C6A"/>
    <w:rsid w:val="006064E1"/>
    <w:rsid w:val="00607567"/>
    <w:rsid w:val="006127FF"/>
    <w:rsid w:val="006142C8"/>
    <w:rsid w:val="00617F39"/>
    <w:rsid w:val="00641624"/>
    <w:rsid w:val="00643EB4"/>
    <w:rsid w:val="006458B6"/>
    <w:rsid w:val="00653913"/>
    <w:rsid w:val="006617BD"/>
    <w:rsid w:val="00665F42"/>
    <w:rsid w:val="00670CE4"/>
    <w:rsid w:val="00685CAD"/>
    <w:rsid w:val="00693688"/>
    <w:rsid w:val="006B0357"/>
    <w:rsid w:val="006B1C66"/>
    <w:rsid w:val="006C2D36"/>
    <w:rsid w:val="006C4912"/>
    <w:rsid w:val="006C57E3"/>
    <w:rsid w:val="006C6FEB"/>
    <w:rsid w:val="006C78D5"/>
    <w:rsid w:val="006D145A"/>
    <w:rsid w:val="006D1F52"/>
    <w:rsid w:val="006D5941"/>
    <w:rsid w:val="006E06C0"/>
    <w:rsid w:val="006E1A8C"/>
    <w:rsid w:val="006E260B"/>
    <w:rsid w:val="006E28B0"/>
    <w:rsid w:val="006F3476"/>
    <w:rsid w:val="0070202A"/>
    <w:rsid w:val="00703C19"/>
    <w:rsid w:val="00703E38"/>
    <w:rsid w:val="0073658B"/>
    <w:rsid w:val="00740AF2"/>
    <w:rsid w:val="00761B16"/>
    <w:rsid w:val="0076657E"/>
    <w:rsid w:val="0077224A"/>
    <w:rsid w:val="00773DF1"/>
    <w:rsid w:val="007751BA"/>
    <w:rsid w:val="00780249"/>
    <w:rsid w:val="007879FC"/>
    <w:rsid w:val="0079050A"/>
    <w:rsid w:val="007950E8"/>
    <w:rsid w:val="00796A1A"/>
    <w:rsid w:val="007A2196"/>
    <w:rsid w:val="007B134D"/>
    <w:rsid w:val="007B667D"/>
    <w:rsid w:val="007C49F1"/>
    <w:rsid w:val="007C5098"/>
    <w:rsid w:val="007D196D"/>
    <w:rsid w:val="007E3DE6"/>
    <w:rsid w:val="00824BE1"/>
    <w:rsid w:val="00830789"/>
    <w:rsid w:val="008310F5"/>
    <w:rsid w:val="008338B2"/>
    <w:rsid w:val="00833BB9"/>
    <w:rsid w:val="00835B6D"/>
    <w:rsid w:val="008416E8"/>
    <w:rsid w:val="00847E0D"/>
    <w:rsid w:val="00855A1C"/>
    <w:rsid w:val="00862421"/>
    <w:rsid w:val="008624C8"/>
    <w:rsid w:val="00866C22"/>
    <w:rsid w:val="00884C61"/>
    <w:rsid w:val="008860D7"/>
    <w:rsid w:val="008B0227"/>
    <w:rsid w:val="008B519D"/>
    <w:rsid w:val="008C5474"/>
    <w:rsid w:val="008D25DE"/>
    <w:rsid w:val="008D312E"/>
    <w:rsid w:val="008E4C17"/>
    <w:rsid w:val="008F300B"/>
    <w:rsid w:val="008F6C52"/>
    <w:rsid w:val="00901833"/>
    <w:rsid w:val="00910B63"/>
    <w:rsid w:val="00912E5E"/>
    <w:rsid w:val="00916294"/>
    <w:rsid w:val="0092160C"/>
    <w:rsid w:val="00925F4D"/>
    <w:rsid w:val="00936D31"/>
    <w:rsid w:val="00942A1F"/>
    <w:rsid w:val="00946F82"/>
    <w:rsid w:val="009476FB"/>
    <w:rsid w:val="009551D0"/>
    <w:rsid w:val="00957880"/>
    <w:rsid w:val="00961062"/>
    <w:rsid w:val="00964003"/>
    <w:rsid w:val="009640FB"/>
    <w:rsid w:val="009649C2"/>
    <w:rsid w:val="009673DE"/>
    <w:rsid w:val="00975523"/>
    <w:rsid w:val="00980079"/>
    <w:rsid w:val="00984B6C"/>
    <w:rsid w:val="00990026"/>
    <w:rsid w:val="00996174"/>
    <w:rsid w:val="009A0D77"/>
    <w:rsid w:val="009A268C"/>
    <w:rsid w:val="009A44D7"/>
    <w:rsid w:val="009B013E"/>
    <w:rsid w:val="009B17DB"/>
    <w:rsid w:val="009B5834"/>
    <w:rsid w:val="009C4173"/>
    <w:rsid w:val="009C4198"/>
    <w:rsid w:val="009D75FA"/>
    <w:rsid w:val="009D79F4"/>
    <w:rsid w:val="009F0925"/>
    <w:rsid w:val="00A109E2"/>
    <w:rsid w:val="00A146A4"/>
    <w:rsid w:val="00A1492F"/>
    <w:rsid w:val="00A17280"/>
    <w:rsid w:val="00A26508"/>
    <w:rsid w:val="00A32083"/>
    <w:rsid w:val="00A34633"/>
    <w:rsid w:val="00A358B1"/>
    <w:rsid w:val="00A36832"/>
    <w:rsid w:val="00A54343"/>
    <w:rsid w:val="00A54C2B"/>
    <w:rsid w:val="00A60D21"/>
    <w:rsid w:val="00A750DA"/>
    <w:rsid w:val="00A87C5A"/>
    <w:rsid w:val="00AA4692"/>
    <w:rsid w:val="00AB1AF3"/>
    <w:rsid w:val="00AC34F6"/>
    <w:rsid w:val="00AD4C8C"/>
    <w:rsid w:val="00AE3EEF"/>
    <w:rsid w:val="00AE52FD"/>
    <w:rsid w:val="00AE5AD1"/>
    <w:rsid w:val="00AE760D"/>
    <w:rsid w:val="00AE7933"/>
    <w:rsid w:val="00B0295B"/>
    <w:rsid w:val="00B06186"/>
    <w:rsid w:val="00B12E88"/>
    <w:rsid w:val="00B12EA9"/>
    <w:rsid w:val="00B14F29"/>
    <w:rsid w:val="00B1649C"/>
    <w:rsid w:val="00B30A74"/>
    <w:rsid w:val="00B32436"/>
    <w:rsid w:val="00B515DC"/>
    <w:rsid w:val="00B75C73"/>
    <w:rsid w:val="00B80D44"/>
    <w:rsid w:val="00B825B9"/>
    <w:rsid w:val="00BA2D13"/>
    <w:rsid w:val="00BA6EB7"/>
    <w:rsid w:val="00BA7213"/>
    <w:rsid w:val="00BB3B10"/>
    <w:rsid w:val="00BB3E2D"/>
    <w:rsid w:val="00BB6696"/>
    <w:rsid w:val="00BC7022"/>
    <w:rsid w:val="00BD1C5B"/>
    <w:rsid w:val="00BD2C1A"/>
    <w:rsid w:val="00BE1848"/>
    <w:rsid w:val="00BE3CC6"/>
    <w:rsid w:val="00BE5C40"/>
    <w:rsid w:val="00C020E2"/>
    <w:rsid w:val="00C069C9"/>
    <w:rsid w:val="00C21B36"/>
    <w:rsid w:val="00C252E6"/>
    <w:rsid w:val="00C26841"/>
    <w:rsid w:val="00C2696B"/>
    <w:rsid w:val="00C37E27"/>
    <w:rsid w:val="00C4016D"/>
    <w:rsid w:val="00C43172"/>
    <w:rsid w:val="00C54E7E"/>
    <w:rsid w:val="00C6069C"/>
    <w:rsid w:val="00C71FA4"/>
    <w:rsid w:val="00C80D89"/>
    <w:rsid w:val="00C90FCA"/>
    <w:rsid w:val="00C910CA"/>
    <w:rsid w:val="00CA3D32"/>
    <w:rsid w:val="00CA406D"/>
    <w:rsid w:val="00CA4539"/>
    <w:rsid w:val="00CB464C"/>
    <w:rsid w:val="00CC7AF8"/>
    <w:rsid w:val="00CD557E"/>
    <w:rsid w:val="00CD67FC"/>
    <w:rsid w:val="00CF5259"/>
    <w:rsid w:val="00D17D27"/>
    <w:rsid w:val="00D23128"/>
    <w:rsid w:val="00D26504"/>
    <w:rsid w:val="00D420B3"/>
    <w:rsid w:val="00D42F5E"/>
    <w:rsid w:val="00D43E66"/>
    <w:rsid w:val="00D528CD"/>
    <w:rsid w:val="00D53AB7"/>
    <w:rsid w:val="00D63699"/>
    <w:rsid w:val="00D64B4E"/>
    <w:rsid w:val="00D821E9"/>
    <w:rsid w:val="00DA3C91"/>
    <w:rsid w:val="00DB664F"/>
    <w:rsid w:val="00DE763B"/>
    <w:rsid w:val="00E10EA2"/>
    <w:rsid w:val="00E13D88"/>
    <w:rsid w:val="00E209C9"/>
    <w:rsid w:val="00E227EA"/>
    <w:rsid w:val="00E34C34"/>
    <w:rsid w:val="00E37D2E"/>
    <w:rsid w:val="00E4735E"/>
    <w:rsid w:val="00E51F71"/>
    <w:rsid w:val="00E655B3"/>
    <w:rsid w:val="00E75B1E"/>
    <w:rsid w:val="00E91BC3"/>
    <w:rsid w:val="00EA19DF"/>
    <w:rsid w:val="00EB38AD"/>
    <w:rsid w:val="00EC04C1"/>
    <w:rsid w:val="00EC77CB"/>
    <w:rsid w:val="00ED49CA"/>
    <w:rsid w:val="00EF02D2"/>
    <w:rsid w:val="00EF6CF7"/>
    <w:rsid w:val="00F01559"/>
    <w:rsid w:val="00F03E42"/>
    <w:rsid w:val="00F071A4"/>
    <w:rsid w:val="00F10EA8"/>
    <w:rsid w:val="00F21826"/>
    <w:rsid w:val="00F27523"/>
    <w:rsid w:val="00F34E7B"/>
    <w:rsid w:val="00F3714E"/>
    <w:rsid w:val="00F40B93"/>
    <w:rsid w:val="00F52624"/>
    <w:rsid w:val="00F57183"/>
    <w:rsid w:val="00F60E6D"/>
    <w:rsid w:val="00F63417"/>
    <w:rsid w:val="00F63E0A"/>
    <w:rsid w:val="00F75DB2"/>
    <w:rsid w:val="00F777A1"/>
    <w:rsid w:val="00F87C8E"/>
    <w:rsid w:val="00FA126C"/>
    <w:rsid w:val="00FA15E1"/>
    <w:rsid w:val="00FA488A"/>
    <w:rsid w:val="00FA7466"/>
    <w:rsid w:val="00FB6038"/>
    <w:rsid w:val="00FB62AE"/>
    <w:rsid w:val="00FC431E"/>
    <w:rsid w:val="00FD17A8"/>
    <w:rsid w:val="00FD31F6"/>
    <w:rsid w:val="00FD5A02"/>
    <w:rsid w:val="00FE0B2B"/>
    <w:rsid w:val="00FE5C8D"/>
    <w:rsid w:val="00FE7767"/>
    <w:rsid w:val="00FF2884"/>
    <w:rsid w:val="00FF5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0146"/>
  <w15:chartTrackingRefBased/>
  <w15:docId w15:val="{7C40E40C-8A3A-461E-A396-73AB57E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1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A406D"/>
    <w:rPr>
      <w:b/>
      <w:bCs/>
    </w:rPr>
  </w:style>
  <w:style w:type="character" w:styleId="Verwijzingopmerking">
    <w:name w:val="annotation reference"/>
    <w:basedOn w:val="Standaardalinea-lettertype"/>
    <w:unhideWhenUsed/>
    <w:rsid w:val="00206D00"/>
    <w:rPr>
      <w:sz w:val="16"/>
      <w:szCs w:val="16"/>
    </w:rPr>
  </w:style>
  <w:style w:type="paragraph" w:styleId="Tekstopmerking">
    <w:name w:val="annotation text"/>
    <w:basedOn w:val="Standaard"/>
    <w:link w:val="TekstopmerkingChar"/>
    <w:uiPriority w:val="99"/>
    <w:unhideWhenUsed/>
    <w:rsid w:val="00206D00"/>
    <w:pPr>
      <w:spacing w:line="240" w:lineRule="auto"/>
    </w:pPr>
    <w:rPr>
      <w:sz w:val="20"/>
      <w:szCs w:val="20"/>
    </w:rPr>
  </w:style>
  <w:style w:type="character" w:customStyle="1" w:styleId="TekstopmerkingChar">
    <w:name w:val="Tekst opmerking Char"/>
    <w:basedOn w:val="Standaardalinea-lettertype"/>
    <w:link w:val="Tekstopmerking"/>
    <w:uiPriority w:val="99"/>
    <w:rsid w:val="00206D00"/>
    <w:rPr>
      <w:sz w:val="20"/>
      <w:szCs w:val="20"/>
    </w:rPr>
  </w:style>
  <w:style w:type="paragraph" w:styleId="Onderwerpvanopmerking">
    <w:name w:val="annotation subject"/>
    <w:basedOn w:val="Tekstopmerking"/>
    <w:next w:val="Tekstopmerking"/>
    <w:link w:val="OnderwerpvanopmerkingChar"/>
    <w:uiPriority w:val="99"/>
    <w:semiHidden/>
    <w:unhideWhenUsed/>
    <w:rsid w:val="00206D00"/>
    <w:rPr>
      <w:b/>
      <w:bCs/>
    </w:rPr>
  </w:style>
  <w:style w:type="character" w:customStyle="1" w:styleId="OnderwerpvanopmerkingChar">
    <w:name w:val="Onderwerp van opmerking Char"/>
    <w:basedOn w:val="TekstopmerkingChar"/>
    <w:link w:val="Onderwerpvanopmerking"/>
    <w:uiPriority w:val="99"/>
    <w:semiHidden/>
    <w:rsid w:val="00206D00"/>
    <w:rPr>
      <w:b/>
      <w:bCs/>
      <w:sz w:val="20"/>
      <w:szCs w:val="20"/>
    </w:rPr>
  </w:style>
  <w:style w:type="paragraph" w:styleId="Ballontekst">
    <w:name w:val="Balloon Text"/>
    <w:basedOn w:val="Standaard"/>
    <w:link w:val="BallontekstChar"/>
    <w:uiPriority w:val="99"/>
    <w:semiHidden/>
    <w:unhideWhenUsed/>
    <w:rsid w:val="00206D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D00"/>
    <w:rPr>
      <w:rFonts w:ascii="Segoe UI" w:hAnsi="Segoe UI" w:cs="Segoe UI"/>
      <w:sz w:val="18"/>
      <w:szCs w:val="18"/>
    </w:rPr>
  </w:style>
  <w:style w:type="character" w:styleId="Hyperlink">
    <w:name w:val="Hyperlink"/>
    <w:uiPriority w:val="99"/>
    <w:unhideWhenUsed/>
    <w:rsid w:val="00FB62AE"/>
    <w:rPr>
      <w:color w:val="0000FF"/>
      <w:u w:val="single"/>
    </w:rPr>
  </w:style>
  <w:style w:type="character" w:styleId="GevolgdeHyperlink">
    <w:name w:val="FollowedHyperlink"/>
    <w:basedOn w:val="Standaardalinea-lettertype"/>
    <w:uiPriority w:val="99"/>
    <w:semiHidden/>
    <w:unhideWhenUsed/>
    <w:rsid w:val="00FB62AE"/>
    <w:rPr>
      <w:color w:val="954F72" w:themeColor="followedHyperlink"/>
      <w:u w:val="single"/>
    </w:rPr>
  </w:style>
  <w:style w:type="paragraph" w:styleId="Voetnoottekst">
    <w:name w:val="footnote text"/>
    <w:basedOn w:val="Standaard"/>
    <w:link w:val="VoetnoottekstChar"/>
    <w:uiPriority w:val="99"/>
    <w:semiHidden/>
    <w:unhideWhenUsed/>
    <w:rsid w:val="002B3E8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B3E82"/>
    <w:rPr>
      <w:sz w:val="20"/>
      <w:szCs w:val="20"/>
    </w:rPr>
  </w:style>
  <w:style w:type="character" w:styleId="Voetnootmarkering">
    <w:name w:val="footnote reference"/>
    <w:basedOn w:val="Standaardalinea-lettertype"/>
    <w:uiPriority w:val="99"/>
    <w:semiHidden/>
    <w:unhideWhenUsed/>
    <w:rsid w:val="002B3E82"/>
    <w:rPr>
      <w:vertAlign w:val="superscript"/>
    </w:rPr>
  </w:style>
  <w:style w:type="character" w:styleId="Onopgelostemelding">
    <w:name w:val="Unresolved Mention"/>
    <w:basedOn w:val="Standaardalinea-lettertype"/>
    <w:uiPriority w:val="99"/>
    <w:semiHidden/>
    <w:unhideWhenUsed/>
    <w:rsid w:val="008D312E"/>
    <w:rPr>
      <w:color w:val="605E5C"/>
      <w:shd w:val="clear" w:color="auto" w:fill="E1DFDD"/>
    </w:rPr>
  </w:style>
  <w:style w:type="character" w:customStyle="1" w:styleId="Kop1Char">
    <w:name w:val="Kop 1 Char"/>
    <w:basedOn w:val="Standaardalinea-lettertype"/>
    <w:link w:val="Kop1"/>
    <w:uiPriority w:val="9"/>
    <w:rsid w:val="000417E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417E0"/>
    <w:pPr>
      <w:outlineLvl w:val="9"/>
    </w:pPr>
    <w:rPr>
      <w:lang w:eastAsia="nl-NL"/>
    </w:rPr>
  </w:style>
  <w:style w:type="paragraph" w:styleId="Inhopg1">
    <w:name w:val="toc 1"/>
    <w:basedOn w:val="Standaard"/>
    <w:next w:val="Standaard"/>
    <w:autoRedefine/>
    <w:uiPriority w:val="39"/>
    <w:unhideWhenUsed/>
    <w:rsid w:val="007950E8"/>
    <w:pPr>
      <w:spacing w:after="100"/>
    </w:pPr>
  </w:style>
  <w:style w:type="paragraph" w:styleId="Koptekst">
    <w:name w:val="header"/>
    <w:basedOn w:val="Standaard"/>
    <w:link w:val="KoptekstChar"/>
    <w:uiPriority w:val="99"/>
    <w:unhideWhenUsed/>
    <w:rsid w:val="0007421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74214"/>
  </w:style>
  <w:style w:type="paragraph" w:styleId="Voettekst">
    <w:name w:val="footer"/>
    <w:basedOn w:val="Standaard"/>
    <w:link w:val="VoettekstChar"/>
    <w:uiPriority w:val="99"/>
    <w:unhideWhenUsed/>
    <w:rsid w:val="0007421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7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Create a new document." ma:contentTypeScope="" ma:versionID="e323efb187edd96bf05be0f1beb0b4df">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f48f5ad03cf1fad12fc990fcc23b22df"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B256-8C1B-4AC9-836D-67C85CDABC58}">
  <ds:schemaRefs>
    <ds:schemaRef ds:uri="http://schemas.microsoft.com/sharepoint/v3/contenttype/forms"/>
  </ds:schemaRefs>
</ds:datastoreItem>
</file>

<file path=customXml/itemProps2.xml><?xml version="1.0" encoding="utf-8"?>
<ds:datastoreItem xmlns:ds="http://schemas.openxmlformats.org/officeDocument/2006/customXml" ds:itemID="{A7E88D54-0B1B-4BF3-8FD9-37B588344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7E9E6-F775-4BDF-AA27-A0A50BA9B11B}"/>
</file>

<file path=customXml/itemProps4.xml><?xml version="1.0" encoding="utf-8"?>
<ds:datastoreItem xmlns:ds="http://schemas.openxmlformats.org/officeDocument/2006/customXml" ds:itemID="{13490316-0E8C-48E7-8364-4392883D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3508</Words>
  <Characters>19296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Jurriën Deckers</dc:creator>
  <cp:keywords/>
  <dc:description/>
  <cp:lastModifiedBy>Barbara Mossinkoff</cp:lastModifiedBy>
  <cp:revision>5</cp:revision>
  <dcterms:created xsi:type="dcterms:W3CDTF">2021-09-09T08:19:00Z</dcterms:created>
  <dcterms:modified xsi:type="dcterms:W3CDTF">2021-11-09T16:35:00Z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34df8374-409d-46a0-a963-66029d4568ee</vt:lpwstr>
  </property>
</Properties>
</file>